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742062E3" w:rsidR="003D41E3" w:rsidRPr="00D22400" w:rsidRDefault="00FC2DAD" w:rsidP="00FC2DAD">
      <w:pPr>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4003"/>
        <w:gridCol w:w="1344"/>
        <w:gridCol w:w="1848"/>
        <w:gridCol w:w="661"/>
        <w:gridCol w:w="1826"/>
        <w:gridCol w:w="958"/>
      </w:tblGrid>
      <w:tr w:rsidR="000D7F91" w:rsidRPr="00D22400" w14:paraId="0B7729E5" w14:textId="77777777" w:rsidTr="000D7F91">
        <w:trPr>
          <w:trHeight w:val="338"/>
        </w:trPr>
        <w:tc>
          <w:tcPr>
            <w:tcW w:w="4040" w:type="dxa"/>
            <w:vMerge w:val="restart"/>
          </w:tcPr>
          <w:p w14:paraId="3A4C6C84" w14:textId="77777777" w:rsidR="00BC25CE" w:rsidRDefault="009B6480" w:rsidP="0061728B">
            <w:pPr>
              <w:autoSpaceDE w:val="0"/>
              <w:autoSpaceDN w:val="0"/>
              <w:adjustRightInd w:val="0"/>
              <w:spacing w:after="120"/>
              <w:rPr>
                <w:rFonts w:cs="Arial"/>
                <w:color w:val="212121"/>
                <w:szCs w:val="20"/>
                <w:shd w:val="clear" w:color="auto" w:fill="FFFFFF"/>
              </w:rPr>
            </w:pPr>
            <w:proofErr w:type="spellStart"/>
            <w:r w:rsidRPr="009B6480">
              <w:rPr>
                <w:rFonts w:cs="Arial"/>
                <w:color w:val="212121"/>
                <w:szCs w:val="20"/>
                <w:shd w:val="clear" w:color="auto" w:fill="FFFFFF"/>
              </w:rPr>
              <w:t>Liisa-Ly</w:t>
            </w:r>
            <w:proofErr w:type="spellEnd"/>
            <w:r w:rsidRPr="009B6480">
              <w:rPr>
                <w:rFonts w:cs="Arial"/>
                <w:color w:val="212121"/>
                <w:szCs w:val="20"/>
                <w:shd w:val="clear" w:color="auto" w:fill="FFFFFF"/>
              </w:rPr>
              <w:t xml:space="preserve"> Pakosta</w:t>
            </w:r>
          </w:p>
          <w:p w14:paraId="144417D6" w14:textId="51BF7DDD" w:rsidR="0061728B" w:rsidRPr="009B6480" w:rsidRDefault="0061728B" w:rsidP="0061728B">
            <w:pPr>
              <w:autoSpaceDE w:val="0"/>
              <w:autoSpaceDN w:val="0"/>
              <w:adjustRightInd w:val="0"/>
              <w:spacing w:after="120"/>
              <w:rPr>
                <w:rFonts w:cs="Arial"/>
                <w:color w:val="212121"/>
                <w:szCs w:val="20"/>
                <w:shd w:val="clear" w:color="auto" w:fill="FFFFFF"/>
              </w:rPr>
            </w:pPr>
            <w:r w:rsidRPr="009B6480">
              <w:rPr>
                <w:rFonts w:cs="Arial"/>
                <w:color w:val="212121"/>
                <w:szCs w:val="20"/>
                <w:shd w:val="clear" w:color="auto" w:fill="FFFFFF"/>
              </w:rPr>
              <w:t>Justiitsministeerium</w:t>
            </w:r>
          </w:p>
          <w:p w14:paraId="11EF2765" w14:textId="135317FB" w:rsidR="00D22400" w:rsidRPr="00D22400" w:rsidRDefault="0061728B" w:rsidP="0061728B">
            <w:pPr>
              <w:autoSpaceDE w:val="0"/>
              <w:autoSpaceDN w:val="0"/>
              <w:adjustRightInd w:val="0"/>
              <w:spacing w:after="120"/>
              <w:rPr>
                <w:rFonts w:cs="Arial"/>
                <w:color w:val="212121"/>
                <w:szCs w:val="20"/>
                <w:shd w:val="clear" w:color="auto" w:fill="FFFFFF"/>
              </w:rPr>
            </w:pPr>
            <w:r w:rsidRPr="009B6480">
              <w:rPr>
                <w:rFonts w:cs="Arial"/>
                <w:color w:val="212121"/>
                <w:szCs w:val="20"/>
                <w:shd w:val="clear" w:color="auto" w:fill="FFFFFF"/>
              </w:rPr>
              <w:t>info@just.ee</w:t>
            </w:r>
          </w:p>
          <w:p w14:paraId="44B11717" w14:textId="4FEA8B52" w:rsidR="00D22400" w:rsidRPr="00D22400" w:rsidRDefault="00D22400" w:rsidP="00D22400">
            <w:pPr>
              <w:pStyle w:val="Normaallaadveeb"/>
              <w:shd w:val="clear" w:color="auto" w:fill="FFFFFF"/>
              <w:spacing w:before="0" w:beforeAutospacing="0" w:after="0" w:afterAutospacing="0"/>
              <w:rPr>
                <w:rFonts w:ascii="Calibri" w:hAnsi="Calibri" w:cs="Calibri"/>
                <w:color w:val="000000"/>
                <w:sz w:val="22"/>
                <w:szCs w:val="22"/>
              </w:rPr>
            </w:pPr>
          </w:p>
        </w:tc>
        <w:tc>
          <w:tcPr>
            <w:tcW w:w="1356" w:type="dxa"/>
          </w:tcPr>
          <w:p w14:paraId="58CFA5D8" w14:textId="5434C8B0" w:rsidR="000D7F91" w:rsidRPr="00D22400" w:rsidRDefault="0061728B" w:rsidP="0061728B">
            <w:pPr>
              <w:autoSpaceDE w:val="0"/>
              <w:autoSpaceDN w:val="0"/>
              <w:adjustRightInd w:val="0"/>
              <w:spacing w:after="120"/>
              <w:jc w:val="center"/>
              <w:rPr>
                <w:rFonts w:cs="Arial"/>
                <w:szCs w:val="20"/>
              </w:rPr>
            </w:pPr>
            <w:r>
              <w:rPr>
                <w:rFonts w:cs="Arial"/>
                <w:szCs w:val="20"/>
              </w:rPr>
              <w:t xml:space="preserve">           </w:t>
            </w:r>
            <w:r w:rsidR="000D7F91" w:rsidRPr="00D22400">
              <w:rPr>
                <w:rFonts w:cs="Arial"/>
                <w:szCs w:val="20"/>
              </w:rPr>
              <w:t>Teie</w:t>
            </w:r>
          </w:p>
        </w:tc>
        <w:tc>
          <w:tcPr>
            <w:tcW w:w="1868" w:type="dxa"/>
            <w:shd w:val="clear" w:color="auto" w:fill="auto"/>
          </w:tcPr>
          <w:p w14:paraId="311A3D2A" w14:textId="330248A9" w:rsidR="000D7F91" w:rsidRPr="00D22400" w:rsidRDefault="000D7F91" w:rsidP="00770F75">
            <w:pPr>
              <w:spacing w:after="120"/>
              <w:rPr>
                <w:rFonts w:cs="Arial"/>
                <w:szCs w:val="20"/>
              </w:rPr>
            </w:pPr>
          </w:p>
        </w:tc>
        <w:tc>
          <w:tcPr>
            <w:tcW w:w="554" w:type="dxa"/>
            <w:shd w:val="clear" w:color="auto" w:fill="auto"/>
          </w:tcPr>
          <w:p w14:paraId="56A94B19" w14:textId="36FFACAC" w:rsidR="000D7F91" w:rsidRPr="00D22400" w:rsidRDefault="000D7F91" w:rsidP="00770F75">
            <w:pPr>
              <w:spacing w:after="120"/>
              <w:jc w:val="center"/>
              <w:rPr>
                <w:rFonts w:cs="Arial"/>
                <w:szCs w:val="20"/>
              </w:rPr>
            </w:pPr>
            <w:r w:rsidRPr="00D22400">
              <w:rPr>
                <w:rFonts w:cs="Arial"/>
                <w:szCs w:val="20"/>
              </w:rPr>
              <w:t>20</w:t>
            </w:r>
          </w:p>
        </w:tc>
        <w:tc>
          <w:tcPr>
            <w:tcW w:w="1851" w:type="dxa"/>
            <w:shd w:val="clear" w:color="auto" w:fill="auto"/>
          </w:tcPr>
          <w:p w14:paraId="532DC1FA" w14:textId="53411E2A" w:rsidR="000D7F91" w:rsidRPr="00D22400" w:rsidRDefault="000D7F91" w:rsidP="00770F75">
            <w:pPr>
              <w:spacing w:after="120"/>
              <w:rPr>
                <w:rFonts w:cs="Arial"/>
                <w:szCs w:val="20"/>
              </w:rPr>
            </w:pPr>
            <w:r w:rsidRPr="00D22400">
              <w:rPr>
                <w:rFonts w:cs="Arial"/>
                <w:szCs w:val="20"/>
              </w:rPr>
              <w:t xml:space="preserve">a nr </w:t>
            </w:r>
          </w:p>
        </w:tc>
        <w:tc>
          <w:tcPr>
            <w:tcW w:w="971" w:type="dxa"/>
            <w:tcBorders>
              <w:left w:val="nil"/>
            </w:tcBorders>
            <w:shd w:val="clear" w:color="auto" w:fill="auto"/>
          </w:tcPr>
          <w:p w14:paraId="1D77795A" w14:textId="77777777" w:rsidR="000D7F91" w:rsidRPr="00D22400" w:rsidRDefault="000D7F91" w:rsidP="00770F75">
            <w:pPr>
              <w:spacing w:after="120"/>
              <w:rPr>
                <w:rFonts w:cs="Arial"/>
                <w:szCs w:val="20"/>
              </w:rPr>
            </w:pPr>
          </w:p>
        </w:tc>
      </w:tr>
      <w:tr w:rsidR="000D7F91" w:rsidRPr="00D22400" w14:paraId="1E58ED1D" w14:textId="77777777" w:rsidTr="000D7F91">
        <w:trPr>
          <w:trHeight w:val="277"/>
        </w:trPr>
        <w:tc>
          <w:tcPr>
            <w:tcW w:w="4040" w:type="dxa"/>
            <w:vMerge/>
          </w:tcPr>
          <w:p w14:paraId="758EF281" w14:textId="77777777" w:rsidR="000D7F91" w:rsidRPr="00D22400" w:rsidRDefault="000D7F91" w:rsidP="00770F75">
            <w:pPr>
              <w:autoSpaceDE w:val="0"/>
              <w:autoSpaceDN w:val="0"/>
              <w:adjustRightInd w:val="0"/>
              <w:spacing w:after="120"/>
              <w:rPr>
                <w:rFonts w:cs="Arial"/>
                <w:szCs w:val="20"/>
              </w:rPr>
            </w:pPr>
            <w:bookmarkStart w:id="0" w:name="_Hlk60063564"/>
          </w:p>
        </w:tc>
        <w:tc>
          <w:tcPr>
            <w:tcW w:w="1356" w:type="dxa"/>
          </w:tcPr>
          <w:p w14:paraId="07FA4789" w14:textId="77777777" w:rsidR="000D7F91" w:rsidRPr="00D22400" w:rsidRDefault="000D7F91" w:rsidP="00770F75">
            <w:pPr>
              <w:autoSpaceDE w:val="0"/>
              <w:autoSpaceDN w:val="0"/>
              <w:adjustRightInd w:val="0"/>
              <w:spacing w:after="120"/>
              <w:jc w:val="right"/>
              <w:rPr>
                <w:rFonts w:cs="Arial"/>
                <w:szCs w:val="20"/>
              </w:rPr>
            </w:pPr>
            <w:r w:rsidRPr="00D22400">
              <w:rPr>
                <w:rFonts w:cs="Arial"/>
                <w:szCs w:val="20"/>
              </w:rPr>
              <w:t>Meie</w:t>
            </w:r>
          </w:p>
        </w:tc>
        <w:tc>
          <w:tcPr>
            <w:tcW w:w="1868" w:type="dxa"/>
            <w:shd w:val="clear" w:color="auto" w:fill="auto"/>
          </w:tcPr>
          <w:p w14:paraId="2797123C" w14:textId="7E628913" w:rsidR="000D7F91" w:rsidRPr="00D22400" w:rsidRDefault="0061728B" w:rsidP="00770F75">
            <w:pPr>
              <w:spacing w:after="120"/>
              <w:rPr>
                <w:rFonts w:cs="Arial"/>
                <w:szCs w:val="20"/>
              </w:rPr>
            </w:pPr>
            <w:r>
              <w:rPr>
                <w:rFonts w:cs="Arial"/>
                <w:szCs w:val="20"/>
              </w:rPr>
              <w:t>2</w:t>
            </w:r>
            <w:r w:rsidR="00336BE8">
              <w:rPr>
                <w:rFonts w:cs="Arial"/>
                <w:szCs w:val="20"/>
              </w:rPr>
              <w:t>5</w:t>
            </w:r>
            <w:r w:rsidR="00D22400" w:rsidRPr="00D22400">
              <w:rPr>
                <w:rFonts w:cs="Arial"/>
                <w:szCs w:val="20"/>
              </w:rPr>
              <w:t>.</w:t>
            </w:r>
            <w:r w:rsidR="00336BE8">
              <w:rPr>
                <w:rFonts w:cs="Arial"/>
                <w:szCs w:val="20"/>
              </w:rPr>
              <w:t>11</w:t>
            </w:r>
          </w:p>
        </w:tc>
        <w:tc>
          <w:tcPr>
            <w:tcW w:w="554" w:type="dxa"/>
            <w:shd w:val="clear" w:color="auto" w:fill="auto"/>
          </w:tcPr>
          <w:p w14:paraId="69A35BDD" w14:textId="7A3DB81E" w:rsidR="000D7F91" w:rsidRPr="00D22400" w:rsidRDefault="000D7F91" w:rsidP="00770F75">
            <w:pPr>
              <w:spacing w:after="120"/>
              <w:jc w:val="center"/>
              <w:rPr>
                <w:rFonts w:cs="Arial"/>
                <w:szCs w:val="20"/>
              </w:rPr>
            </w:pPr>
            <w:r w:rsidRPr="00D22400">
              <w:rPr>
                <w:rFonts w:cs="Arial"/>
                <w:szCs w:val="20"/>
              </w:rPr>
              <w:t>20</w:t>
            </w:r>
            <w:r w:rsidR="00D22400" w:rsidRPr="00D22400">
              <w:rPr>
                <w:rFonts w:cs="Arial"/>
                <w:szCs w:val="20"/>
              </w:rPr>
              <w:t>2</w:t>
            </w:r>
            <w:r w:rsidR="009B6480">
              <w:rPr>
                <w:rFonts w:cs="Arial"/>
                <w:szCs w:val="20"/>
              </w:rPr>
              <w:t>4</w:t>
            </w:r>
          </w:p>
        </w:tc>
        <w:tc>
          <w:tcPr>
            <w:tcW w:w="1851" w:type="dxa"/>
            <w:shd w:val="clear" w:color="auto" w:fill="auto"/>
          </w:tcPr>
          <w:p w14:paraId="2A0A5C2C" w14:textId="4E25193F" w:rsidR="000D7F91" w:rsidRPr="00D22400" w:rsidRDefault="000D7F91" w:rsidP="00770F75">
            <w:pPr>
              <w:spacing w:after="120"/>
              <w:rPr>
                <w:rFonts w:cs="Arial"/>
                <w:szCs w:val="20"/>
              </w:rPr>
            </w:pPr>
            <w:r w:rsidRPr="00D22400">
              <w:rPr>
                <w:rFonts w:cs="Arial"/>
                <w:szCs w:val="20"/>
              </w:rPr>
              <w:t xml:space="preserve">a nr </w:t>
            </w:r>
          </w:p>
        </w:tc>
        <w:tc>
          <w:tcPr>
            <w:tcW w:w="971" w:type="dxa"/>
            <w:tcBorders>
              <w:left w:val="nil"/>
            </w:tcBorders>
            <w:shd w:val="clear" w:color="auto" w:fill="auto"/>
          </w:tcPr>
          <w:p w14:paraId="6A7ED25B" w14:textId="77777777" w:rsidR="000D7F91" w:rsidRPr="00D22400" w:rsidRDefault="000D7F91" w:rsidP="00770F75">
            <w:pPr>
              <w:spacing w:after="120"/>
              <w:rPr>
                <w:rFonts w:cs="Arial"/>
                <w:szCs w:val="20"/>
              </w:rPr>
            </w:pPr>
          </w:p>
        </w:tc>
      </w:tr>
      <w:bookmarkEnd w:id="0"/>
    </w:tbl>
    <w:p w14:paraId="33820B36" w14:textId="179287D7" w:rsidR="0030100D" w:rsidRPr="00D22400" w:rsidRDefault="0030100D" w:rsidP="0030100D">
      <w:pPr>
        <w:jc w:val="both"/>
        <w:rPr>
          <w:rFonts w:cs="Arial"/>
          <w:szCs w:val="20"/>
        </w:rPr>
      </w:pPr>
    </w:p>
    <w:p w14:paraId="3EEB070D" w14:textId="77777777" w:rsidR="00D22400" w:rsidRPr="00D22400" w:rsidRDefault="00D22400" w:rsidP="0030100D">
      <w:pPr>
        <w:jc w:val="both"/>
        <w:rPr>
          <w:rFonts w:cs="Arial"/>
          <w:szCs w:val="20"/>
        </w:rPr>
      </w:pPr>
    </w:p>
    <w:p w14:paraId="2C84F390" w14:textId="27EB75D0" w:rsidR="0061728B" w:rsidRPr="0061728B" w:rsidRDefault="0083420D" w:rsidP="0061728B">
      <w:pPr>
        <w:jc w:val="both"/>
        <w:rPr>
          <w:b/>
        </w:rPr>
      </w:pPr>
      <w:r>
        <w:rPr>
          <w:b/>
          <w:bCs/>
        </w:rPr>
        <w:t>K</w:t>
      </w:r>
      <w:r w:rsidR="00336BE8" w:rsidRPr="00D8213C">
        <w:rPr>
          <w:b/>
          <w:bCs/>
        </w:rPr>
        <w:t>ohtumenetluse</w:t>
      </w:r>
      <w:r w:rsidR="00336BE8" w:rsidRPr="00336BE8">
        <w:rPr>
          <w:b/>
        </w:rPr>
        <w:t xml:space="preserve"> tõhustamise ettepanekud</w:t>
      </w:r>
    </w:p>
    <w:p w14:paraId="0380AC17" w14:textId="77777777" w:rsidR="0061728B" w:rsidRPr="0061728B" w:rsidRDefault="0061728B" w:rsidP="0061728B">
      <w:pPr>
        <w:jc w:val="both"/>
        <w:rPr>
          <w:b/>
        </w:rPr>
      </w:pPr>
    </w:p>
    <w:p w14:paraId="7A569A7C" w14:textId="77777777" w:rsidR="0061728B" w:rsidRPr="0061728B" w:rsidRDefault="0061728B" w:rsidP="0061728B">
      <w:pPr>
        <w:jc w:val="both"/>
        <w:rPr>
          <w:b/>
        </w:rPr>
      </w:pPr>
    </w:p>
    <w:p w14:paraId="677186B9" w14:textId="4AAE949E" w:rsidR="0061728B" w:rsidRPr="0061728B" w:rsidRDefault="0061728B" w:rsidP="0061728B">
      <w:pPr>
        <w:jc w:val="both"/>
      </w:pPr>
      <w:r w:rsidRPr="0061728B">
        <w:t xml:space="preserve">Lugupeetud minister, </w:t>
      </w:r>
    </w:p>
    <w:p w14:paraId="094A54D5" w14:textId="77777777" w:rsidR="0061728B" w:rsidRPr="0061728B" w:rsidRDefault="0061728B" w:rsidP="0061728B">
      <w:pPr>
        <w:jc w:val="both"/>
      </w:pPr>
    </w:p>
    <w:p w14:paraId="10304E62" w14:textId="77777777" w:rsidR="00BC25CE" w:rsidRDefault="00BC25CE" w:rsidP="0061728B">
      <w:pPr>
        <w:jc w:val="both"/>
      </w:pPr>
    </w:p>
    <w:p w14:paraId="757BB157" w14:textId="319BB5B4" w:rsidR="00BC25CE" w:rsidRDefault="0061728B" w:rsidP="001D64BC">
      <w:pPr>
        <w:jc w:val="both"/>
      </w:pPr>
      <w:r w:rsidRPr="0061728B">
        <w:t xml:space="preserve">Täname võimaluse eest avaldada arvamust </w:t>
      </w:r>
      <w:r w:rsidR="00D71095">
        <w:t xml:space="preserve">14.11.2024 </w:t>
      </w:r>
      <w:r w:rsidR="00336BE8">
        <w:t>k</w:t>
      </w:r>
      <w:r w:rsidR="00336BE8" w:rsidRPr="00336BE8">
        <w:t>ohtumenetluse tõhustamise ettepaneku</w:t>
      </w:r>
      <w:r w:rsidR="00336BE8">
        <w:t>te osas</w:t>
      </w:r>
      <w:r w:rsidRPr="0061728B">
        <w:t>.</w:t>
      </w:r>
      <w:r w:rsidR="00BC25CE">
        <w:t xml:space="preserve"> </w:t>
      </w:r>
    </w:p>
    <w:p w14:paraId="6DF629A3" w14:textId="77777777" w:rsidR="00BC25CE" w:rsidRDefault="00BC25CE" w:rsidP="001D64BC">
      <w:pPr>
        <w:jc w:val="both"/>
      </w:pPr>
    </w:p>
    <w:p w14:paraId="3FE74201" w14:textId="12049701" w:rsidR="001D64BC" w:rsidRDefault="001D64BC" w:rsidP="001D64BC">
      <w:pPr>
        <w:jc w:val="both"/>
      </w:pPr>
      <w:r w:rsidRPr="001D64BC">
        <w:t>Viru Maakohtus esitas</w:t>
      </w:r>
      <w:r w:rsidR="007F5BBB">
        <w:t>id</w:t>
      </w:r>
      <w:r w:rsidRPr="001D64BC">
        <w:t xml:space="preserve"> </w:t>
      </w:r>
      <w:r w:rsidR="00D71095">
        <w:t xml:space="preserve">ettepanekute </w:t>
      </w:r>
      <w:r w:rsidRPr="001D64BC">
        <w:t xml:space="preserve">osas arvamuse </w:t>
      </w:r>
      <w:r w:rsidR="00336BE8">
        <w:t xml:space="preserve">kolm </w:t>
      </w:r>
      <w:r w:rsidRPr="001D64BC">
        <w:t>kohtunikku</w:t>
      </w:r>
      <w:r w:rsidR="00523532">
        <w:t xml:space="preserve">. </w:t>
      </w:r>
    </w:p>
    <w:p w14:paraId="27F7149F" w14:textId="77777777" w:rsidR="00D71095" w:rsidRDefault="00D71095" w:rsidP="001D64BC">
      <w:pPr>
        <w:jc w:val="both"/>
      </w:pPr>
    </w:p>
    <w:p w14:paraId="3C1F8D9D" w14:textId="77777777" w:rsidR="00596425" w:rsidRDefault="00D71095" w:rsidP="00D71095">
      <w:pPr>
        <w:jc w:val="both"/>
        <w:rPr>
          <w:i/>
          <w:iCs/>
        </w:rPr>
      </w:pPr>
      <w:r>
        <w:t xml:space="preserve">Üks kohtunik leidis, </w:t>
      </w:r>
      <w:r w:rsidRPr="00D8213C">
        <w:rPr>
          <w:i/>
          <w:iCs/>
        </w:rPr>
        <w:t xml:space="preserve">et jääb arusaamatuks, kuidas RÕS § 7 lg 1 p 4 muudatus vähendab kohtu töökoormust. Kohus peab </w:t>
      </w:r>
      <w:r w:rsidR="00596425">
        <w:rPr>
          <w:i/>
          <w:iCs/>
        </w:rPr>
        <w:t xml:space="preserve">siiski </w:t>
      </w:r>
      <w:r w:rsidRPr="00D8213C">
        <w:rPr>
          <w:i/>
          <w:iCs/>
        </w:rPr>
        <w:t>saadud taotlust hindama ja kogutud andmete põhjal tulemit arvutama. See, et 2x-se asemel võta</w:t>
      </w:r>
      <w:r w:rsidR="00487C4F" w:rsidRPr="00D8213C">
        <w:rPr>
          <w:i/>
          <w:iCs/>
        </w:rPr>
        <w:t xml:space="preserve">b kohus </w:t>
      </w:r>
      <w:r w:rsidRPr="00D8213C">
        <w:rPr>
          <w:i/>
          <w:iCs/>
        </w:rPr>
        <w:t>aluseks 3x-se ühe kuu keskmise sissetuleku, ei mõjuta kuidagi seda, et isik on taotluse esitanud</w:t>
      </w:r>
      <w:r w:rsidR="00487C4F" w:rsidRPr="00D8213C">
        <w:rPr>
          <w:i/>
          <w:iCs/>
        </w:rPr>
        <w:t xml:space="preserve"> </w:t>
      </w:r>
      <w:r w:rsidR="00C076A6">
        <w:rPr>
          <w:i/>
          <w:iCs/>
        </w:rPr>
        <w:t>ning</w:t>
      </w:r>
      <w:r w:rsidR="00487C4F" w:rsidRPr="00D8213C">
        <w:rPr>
          <w:i/>
          <w:iCs/>
        </w:rPr>
        <w:t xml:space="preserve"> k</w:t>
      </w:r>
      <w:r w:rsidRPr="00D8213C">
        <w:rPr>
          <w:i/>
          <w:iCs/>
        </w:rPr>
        <w:t>ohus</w:t>
      </w:r>
      <w:r w:rsidR="00487C4F" w:rsidRPr="00D8213C">
        <w:rPr>
          <w:i/>
          <w:iCs/>
        </w:rPr>
        <w:t xml:space="preserve"> peab seda menetlema </w:t>
      </w:r>
      <w:r w:rsidR="00C076A6">
        <w:rPr>
          <w:i/>
          <w:iCs/>
        </w:rPr>
        <w:t xml:space="preserve">ja </w:t>
      </w:r>
      <w:r w:rsidR="00487C4F" w:rsidRPr="00D8213C">
        <w:rPr>
          <w:i/>
          <w:iCs/>
        </w:rPr>
        <w:t>tuvastama, kas ta</w:t>
      </w:r>
      <w:r w:rsidRPr="00D8213C">
        <w:rPr>
          <w:i/>
          <w:iCs/>
        </w:rPr>
        <w:t>otleja jääb lävendi</w:t>
      </w:r>
      <w:r w:rsidR="00C076A6">
        <w:rPr>
          <w:i/>
          <w:iCs/>
        </w:rPr>
        <w:t xml:space="preserve"> </w:t>
      </w:r>
      <w:r w:rsidR="00596425">
        <w:rPr>
          <w:i/>
          <w:iCs/>
        </w:rPr>
        <w:t xml:space="preserve">alla </w:t>
      </w:r>
      <w:r w:rsidR="00C076A6">
        <w:rPr>
          <w:i/>
          <w:iCs/>
        </w:rPr>
        <w:t>või mitte</w:t>
      </w:r>
      <w:r w:rsidRPr="00D8213C">
        <w:rPr>
          <w:i/>
          <w:iCs/>
        </w:rPr>
        <w:t>.</w:t>
      </w:r>
      <w:r w:rsidR="00487C4F" w:rsidRPr="00D8213C">
        <w:rPr>
          <w:i/>
          <w:iCs/>
        </w:rPr>
        <w:t xml:space="preserve"> </w:t>
      </w:r>
      <w:r w:rsidRPr="00D8213C">
        <w:rPr>
          <w:i/>
          <w:iCs/>
        </w:rPr>
        <w:t xml:space="preserve">Riigi edaspidiseid kulutusi õigusabile muudatus ilmselt vähendab, </w:t>
      </w:r>
      <w:r w:rsidR="00487C4F" w:rsidRPr="00D8213C">
        <w:rPr>
          <w:i/>
          <w:iCs/>
        </w:rPr>
        <w:t xml:space="preserve">kuid </w:t>
      </w:r>
      <w:r w:rsidRPr="00D8213C">
        <w:rPr>
          <w:i/>
          <w:iCs/>
        </w:rPr>
        <w:t>mitte kohtu koormust sell</w:t>
      </w:r>
      <w:r w:rsidR="00C076A6">
        <w:rPr>
          <w:i/>
          <w:iCs/>
        </w:rPr>
        <w:t>ise</w:t>
      </w:r>
      <w:r w:rsidRPr="00D8213C">
        <w:rPr>
          <w:i/>
          <w:iCs/>
        </w:rPr>
        <w:t xml:space="preserve"> taotluse menetlemiseks.</w:t>
      </w:r>
      <w:r w:rsidR="00596425">
        <w:rPr>
          <w:i/>
          <w:iCs/>
        </w:rPr>
        <w:t xml:space="preserve"> </w:t>
      </w:r>
    </w:p>
    <w:p w14:paraId="11614E18" w14:textId="77777777" w:rsidR="00596425" w:rsidRDefault="00596425" w:rsidP="00D71095">
      <w:pPr>
        <w:jc w:val="both"/>
        <w:rPr>
          <w:i/>
          <w:iCs/>
        </w:rPr>
      </w:pPr>
    </w:p>
    <w:p w14:paraId="4E1551DE" w14:textId="00CE85CA" w:rsidR="00D71095" w:rsidRPr="00D8213C" w:rsidRDefault="00D71095" w:rsidP="00D71095">
      <w:pPr>
        <w:jc w:val="both"/>
        <w:rPr>
          <w:i/>
          <w:iCs/>
        </w:rPr>
      </w:pPr>
      <w:r w:rsidRPr="00D8213C">
        <w:rPr>
          <w:i/>
          <w:iCs/>
        </w:rPr>
        <w:t xml:space="preserve">RÕS 10 lg 3 muutmine oleks tervitatav eeldusel, kui taotleja tahabki RÕA selgelt saada kohtueelselt, aga kui </w:t>
      </w:r>
      <w:r w:rsidR="00587B6B">
        <w:rPr>
          <w:i/>
          <w:iCs/>
        </w:rPr>
        <w:t xml:space="preserve">isik </w:t>
      </w:r>
      <w:r w:rsidRPr="00D8213C">
        <w:rPr>
          <w:i/>
          <w:iCs/>
        </w:rPr>
        <w:t>kirjutab seda segaselt või tahab nii kohtueelset kui kohtuaegset</w:t>
      </w:r>
      <w:r w:rsidR="00587B6B">
        <w:rPr>
          <w:i/>
          <w:iCs/>
        </w:rPr>
        <w:t xml:space="preserve"> </w:t>
      </w:r>
      <w:r w:rsidR="00587B6B" w:rsidRPr="00D8213C">
        <w:rPr>
          <w:i/>
          <w:iCs/>
        </w:rPr>
        <w:t>RÕA</w:t>
      </w:r>
      <w:r w:rsidRPr="00D8213C">
        <w:rPr>
          <w:i/>
          <w:iCs/>
        </w:rPr>
        <w:t xml:space="preserve">, siis kohtu jaoks kasutegur puudub. </w:t>
      </w:r>
      <w:r w:rsidR="00487C4F" w:rsidRPr="00D8213C">
        <w:rPr>
          <w:i/>
          <w:iCs/>
        </w:rPr>
        <w:t xml:space="preserve">Kohus </w:t>
      </w:r>
      <w:r w:rsidRPr="00D8213C">
        <w:rPr>
          <w:i/>
          <w:iCs/>
        </w:rPr>
        <w:t>pe</w:t>
      </w:r>
      <w:r w:rsidR="00487C4F" w:rsidRPr="00D8213C">
        <w:rPr>
          <w:i/>
          <w:iCs/>
        </w:rPr>
        <w:t>ab taotlust</w:t>
      </w:r>
      <w:r w:rsidRPr="00D8213C">
        <w:rPr>
          <w:i/>
          <w:iCs/>
        </w:rPr>
        <w:t xml:space="preserve"> menetlema,</w:t>
      </w:r>
      <w:r w:rsidR="00487C4F" w:rsidRPr="00D8213C">
        <w:rPr>
          <w:i/>
          <w:iCs/>
        </w:rPr>
        <w:t xml:space="preserve"> </w:t>
      </w:r>
      <w:r w:rsidRPr="00D8213C">
        <w:rPr>
          <w:i/>
          <w:iCs/>
        </w:rPr>
        <w:t>laskma ressurssi kulutades täpsustada, mida kodanik täpselt ikka</w:t>
      </w:r>
      <w:r w:rsidR="00487C4F" w:rsidRPr="00D8213C">
        <w:rPr>
          <w:i/>
          <w:iCs/>
        </w:rPr>
        <w:t>gi</w:t>
      </w:r>
      <w:r w:rsidRPr="00D8213C">
        <w:rPr>
          <w:i/>
          <w:iCs/>
        </w:rPr>
        <w:t xml:space="preserve"> </w:t>
      </w:r>
      <w:r w:rsidR="007321F1">
        <w:rPr>
          <w:i/>
          <w:iCs/>
        </w:rPr>
        <w:t>soovib</w:t>
      </w:r>
      <w:r w:rsidRPr="00D8213C">
        <w:rPr>
          <w:i/>
          <w:iCs/>
        </w:rPr>
        <w:t xml:space="preserve">. </w:t>
      </w:r>
      <w:r w:rsidR="00487C4F" w:rsidRPr="00D8213C">
        <w:rPr>
          <w:i/>
          <w:iCs/>
        </w:rPr>
        <w:t>Tekib küsimus, k</w:t>
      </w:r>
      <w:r w:rsidRPr="00D8213C">
        <w:rPr>
          <w:i/>
          <w:iCs/>
        </w:rPr>
        <w:t xml:space="preserve">as eelnõu raames on tehtud statistikat, kui palju on nt aasta jooksul esitatud puhtalt kohtueelse </w:t>
      </w:r>
      <w:r w:rsidR="00C076A6" w:rsidRPr="00D8213C">
        <w:rPr>
          <w:i/>
          <w:iCs/>
        </w:rPr>
        <w:t xml:space="preserve">RÕA </w:t>
      </w:r>
      <w:r w:rsidRPr="00D8213C">
        <w:rPr>
          <w:i/>
          <w:iCs/>
        </w:rPr>
        <w:t>taotlus</w:t>
      </w:r>
      <w:r w:rsidR="00C076A6">
        <w:rPr>
          <w:i/>
          <w:iCs/>
        </w:rPr>
        <w:t>i</w:t>
      </w:r>
      <w:r w:rsidRPr="00D8213C">
        <w:rPr>
          <w:i/>
          <w:iCs/>
        </w:rPr>
        <w:t xml:space="preserve">? </w:t>
      </w:r>
      <w:r w:rsidR="00487C4F" w:rsidRPr="00D8213C">
        <w:rPr>
          <w:i/>
          <w:iCs/>
        </w:rPr>
        <w:t>Lisaks</w:t>
      </w:r>
      <w:r w:rsidR="00C076A6">
        <w:rPr>
          <w:i/>
          <w:iCs/>
        </w:rPr>
        <w:t xml:space="preserve">, </w:t>
      </w:r>
      <w:r w:rsidR="00487C4F" w:rsidRPr="00D8213C">
        <w:rPr>
          <w:i/>
          <w:iCs/>
        </w:rPr>
        <w:t>k</w:t>
      </w:r>
      <w:r w:rsidRPr="00D8213C">
        <w:rPr>
          <w:i/>
          <w:iCs/>
        </w:rPr>
        <w:t xml:space="preserve">ui </w:t>
      </w:r>
      <w:r w:rsidR="00C076A6">
        <w:rPr>
          <w:i/>
          <w:iCs/>
        </w:rPr>
        <w:t xml:space="preserve">põhjendatud </w:t>
      </w:r>
      <w:r w:rsidRPr="00D8213C">
        <w:rPr>
          <w:i/>
          <w:iCs/>
        </w:rPr>
        <w:t>on tsiviilkohtu koormuse vähendamine halduskohtu arvelt ehk advokatuuri keelduva otsuse vaidlustamise sinna suunamine?</w:t>
      </w:r>
    </w:p>
    <w:p w14:paraId="102DDE70" w14:textId="77777777" w:rsidR="00487C4F" w:rsidRPr="00D8213C" w:rsidRDefault="00487C4F" w:rsidP="00D71095">
      <w:pPr>
        <w:jc w:val="both"/>
        <w:rPr>
          <w:i/>
          <w:iCs/>
        </w:rPr>
      </w:pPr>
    </w:p>
    <w:p w14:paraId="04AD2E4F" w14:textId="0B3F1DF2" w:rsidR="00596425" w:rsidRDefault="00C076A6" w:rsidP="00D71095">
      <w:pPr>
        <w:jc w:val="both"/>
        <w:rPr>
          <w:i/>
          <w:iCs/>
        </w:rPr>
      </w:pPr>
      <w:r>
        <w:rPr>
          <w:i/>
          <w:iCs/>
        </w:rPr>
        <w:t xml:space="preserve">Arusaamatu </w:t>
      </w:r>
      <w:r w:rsidR="00D71095" w:rsidRPr="00D8213C">
        <w:rPr>
          <w:i/>
          <w:iCs/>
        </w:rPr>
        <w:t xml:space="preserve">on </w:t>
      </w:r>
      <w:r w:rsidR="00596425">
        <w:rPr>
          <w:i/>
          <w:iCs/>
        </w:rPr>
        <w:t xml:space="preserve">ka </w:t>
      </w:r>
      <w:r w:rsidR="00D71095" w:rsidRPr="00D8213C">
        <w:rPr>
          <w:i/>
          <w:iCs/>
        </w:rPr>
        <w:t xml:space="preserve">SHS § 105 lg 5 muudatuse põhistamiseks esitatud väide, et „suurem osa isikuid peab nn kinnises asutuses olema kogu elu“. Siiani on ikka väga üheselt oldud seda meelt, et see ei saa olla </w:t>
      </w:r>
      <w:proofErr w:type="spellStart"/>
      <w:r w:rsidR="00D71095" w:rsidRPr="00D8213C">
        <w:rPr>
          <w:i/>
          <w:iCs/>
        </w:rPr>
        <w:t>igikestev</w:t>
      </w:r>
      <w:proofErr w:type="spellEnd"/>
      <w:r w:rsidR="00D71095" w:rsidRPr="00D8213C">
        <w:rPr>
          <w:i/>
          <w:iCs/>
        </w:rPr>
        <w:t>.</w:t>
      </w:r>
      <w:r w:rsidR="00487C4F" w:rsidRPr="00D8213C">
        <w:rPr>
          <w:i/>
          <w:iCs/>
        </w:rPr>
        <w:t xml:space="preserve"> </w:t>
      </w:r>
      <w:r w:rsidR="00596425">
        <w:rPr>
          <w:i/>
          <w:iCs/>
        </w:rPr>
        <w:t>Lisaks</w:t>
      </w:r>
      <w:r w:rsidR="007321F1">
        <w:rPr>
          <w:i/>
          <w:iCs/>
        </w:rPr>
        <w:t xml:space="preserve">, </w:t>
      </w:r>
      <w:r w:rsidR="00596425">
        <w:rPr>
          <w:i/>
          <w:iCs/>
        </w:rPr>
        <w:t>k</w:t>
      </w:r>
      <w:r w:rsidR="00D71095" w:rsidRPr="00D8213C">
        <w:rPr>
          <w:i/>
          <w:iCs/>
        </w:rPr>
        <w:t xml:space="preserve">as 1.-lt  </w:t>
      </w:r>
      <w:r>
        <w:rPr>
          <w:i/>
          <w:iCs/>
        </w:rPr>
        <w:t xml:space="preserve">aastalt </w:t>
      </w:r>
      <w:r w:rsidR="00D71095" w:rsidRPr="00D8213C">
        <w:rPr>
          <w:i/>
          <w:iCs/>
        </w:rPr>
        <w:t xml:space="preserve">5. aasta peale </w:t>
      </w:r>
      <w:r>
        <w:rPr>
          <w:i/>
          <w:iCs/>
        </w:rPr>
        <w:t xml:space="preserve">üleminek </w:t>
      </w:r>
      <w:r w:rsidR="007321F1">
        <w:rPr>
          <w:i/>
          <w:iCs/>
        </w:rPr>
        <w:t xml:space="preserve">ei ole </w:t>
      </w:r>
      <w:r w:rsidR="00D71095" w:rsidRPr="00D8213C">
        <w:rPr>
          <w:i/>
          <w:iCs/>
        </w:rPr>
        <w:t xml:space="preserve">liiga järsk </w:t>
      </w:r>
      <w:r w:rsidR="00596425">
        <w:rPr>
          <w:i/>
          <w:iCs/>
        </w:rPr>
        <w:t xml:space="preserve">ning </w:t>
      </w:r>
      <w:r w:rsidR="00487C4F" w:rsidRPr="00D8213C">
        <w:rPr>
          <w:i/>
          <w:iCs/>
        </w:rPr>
        <w:t>k</w:t>
      </w:r>
      <w:r w:rsidR="00D71095" w:rsidRPr="00D8213C">
        <w:rPr>
          <w:i/>
          <w:iCs/>
        </w:rPr>
        <w:t xml:space="preserve">uidas </w:t>
      </w:r>
      <w:r w:rsidR="00596425">
        <w:rPr>
          <w:i/>
          <w:iCs/>
        </w:rPr>
        <w:t xml:space="preserve">tähtaja </w:t>
      </w:r>
      <w:r w:rsidR="00D71095" w:rsidRPr="00D8213C">
        <w:rPr>
          <w:i/>
          <w:iCs/>
        </w:rPr>
        <w:t xml:space="preserve">muutmise suhe on kooskõlas ärakuulamise osas tehtava muudatusega </w:t>
      </w:r>
      <w:proofErr w:type="spellStart"/>
      <w:r w:rsidR="00D71095" w:rsidRPr="00D8213C">
        <w:rPr>
          <w:i/>
          <w:iCs/>
        </w:rPr>
        <w:t>TsMS</w:t>
      </w:r>
      <w:proofErr w:type="spellEnd"/>
      <w:r w:rsidR="00D71095" w:rsidRPr="00D8213C">
        <w:rPr>
          <w:i/>
          <w:iCs/>
        </w:rPr>
        <w:t xml:space="preserve">  § 536 lg</w:t>
      </w:r>
      <w:r w:rsidR="00487C4F" w:rsidRPr="00D8213C">
        <w:rPr>
          <w:i/>
          <w:iCs/>
        </w:rPr>
        <w:t xml:space="preserve"> </w:t>
      </w:r>
      <w:r w:rsidR="00D71095" w:rsidRPr="00D8213C">
        <w:rPr>
          <w:i/>
          <w:iCs/>
        </w:rPr>
        <w:t xml:space="preserve">1 3.lause näol. Ehk et </w:t>
      </w:r>
      <w:r>
        <w:rPr>
          <w:i/>
          <w:iCs/>
        </w:rPr>
        <w:t xml:space="preserve">kohtule </w:t>
      </w:r>
      <w:r w:rsidR="00D71095" w:rsidRPr="00D8213C">
        <w:rPr>
          <w:i/>
          <w:iCs/>
        </w:rPr>
        <w:t>antakse võimalus teha ärakuulamine video teel, kui eelmisest ärakuulamisest pole möödunud rohkem kui kaks aastat. Milles seisneb isiku traumeerimise vähendamine</w:t>
      </w:r>
      <w:r>
        <w:rPr>
          <w:i/>
          <w:iCs/>
        </w:rPr>
        <w:t xml:space="preserve">, </w:t>
      </w:r>
      <w:r w:rsidR="00D71095" w:rsidRPr="00D8213C">
        <w:rPr>
          <w:i/>
          <w:iCs/>
        </w:rPr>
        <w:t xml:space="preserve">kui </w:t>
      </w:r>
      <w:r w:rsidR="00487C4F" w:rsidRPr="00D8213C">
        <w:rPr>
          <w:i/>
          <w:iCs/>
        </w:rPr>
        <w:t xml:space="preserve">kohus </w:t>
      </w:r>
      <w:r>
        <w:rPr>
          <w:i/>
          <w:iCs/>
        </w:rPr>
        <w:t xml:space="preserve">ta </w:t>
      </w:r>
      <w:r w:rsidR="00D71095" w:rsidRPr="00D8213C">
        <w:rPr>
          <w:i/>
          <w:iCs/>
        </w:rPr>
        <w:t xml:space="preserve">iga </w:t>
      </w:r>
      <w:r w:rsidR="007321F1">
        <w:rPr>
          <w:i/>
          <w:iCs/>
        </w:rPr>
        <w:t>kahe</w:t>
      </w:r>
      <w:r w:rsidR="00D71095" w:rsidRPr="00D8213C">
        <w:rPr>
          <w:i/>
          <w:iCs/>
        </w:rPr>
        <w:t xml:space="preserve"> a</w:t>
      </w:r>
      <w:r w:rsidR="007321F1">
        <w:rPr>
          <w:i/>
          <w:iCs/>
        </w:rPr>
        <w:t>asta</w:t>
      </w:r>
      <w:r w:rsidR="00D71095" w:rsidRPr="00D8213C">
        <w:rPr>
          <w:i/>
          <w:iCs/>
        </w:rPr>
        <w:t xml:space="preserve"> tagant ära kuula</w:t>
      </w:r>
      <w:r w:rsidR="00487C4F" w:rsidRPr="00D8213C">
        <w:rPr>
          <w:i/>
          <w:iCs/>
        </w:rPr>
        <w:t>b</w:t>
      </w:r>
      <w:r w:rsidR="00D71095" w:rsidRPr="00D8213C">
        <w:rPr>
          <w:i/>
          <w:iCs/>
        </w:rPr>
        <w:t>?</w:t>
      </w:r>
      <w:r w:rsidR="00487C4F" w:rsidRPr="00D8213C">
        <w:rPr>
          <w:i/>
          <w:iCs/>
        </w:rPr>
        <w:t xml:space="preserve"> Kohus </w:t>
      </w:r>
      <w:r w:rsidR="00D71095" w:rsidRPr="00D8213C">
        <w:rPr>
          <w:i/>
          <w:iCs/>
        </w:rPr>
        <w:t>ei pea</w:t>
      </w:r>
      <w:r w:rsidR="00487C4F" w:rsidRPr="00D8213C">
        <w:rPr>
          <w:i/>
          <w:iCs/>
        </w:rPr>
        <w:t>ks</w:t>
      </w:r>
      <w:r w:rsidR="00D71095" w:rsidRPr="00D8213C">
        <w:rPr>
          <w:i/>
          <w:iCs/>
        </w:rPr>
        <w:t xml:space="preserve"> enam tegema pikendamiseks menetlust iga aasta tagant, </w:t>
      </w:r>
      <w:r>
        <w:rPr>
          <w:i/>
          <w:iCs/>
        </w:rPr>
        <w:t xml:space="preserve">kuid </w:t>
      </w:r>
      <w:r w:rsidR="00596425">
        <w:rPr>
          <w:i/>
          <w:iCs/>
        </w:rPr>
        <w:t xml:space="preserve">kas siis </w:t>
      </w:r>
      <w:r w:rsidR="00D71095" w:rsidRPr="00D8213C">
        <w:rPr>
          <w:i/>
          <w:iCs/>
        </w:rPr>
        <w:t>te</w:t>
      </w:r>
      <w:r w:rsidR="00487C4F" w:rsidRPr="00D8213C">
        <w:rPr>
          <w:i/>
          <w:iCs/>
        </w:rPr>
        <w:t>gema</w:t>
      </w:r>
      <w:r w:rsidR="00D71095" w:rsidRPr="00D8213C">
        <w:rPr>
          <w:i/>
          <w:iCs/>
        </w:rPr>
        <w:t xml:space="preserve"> ärakuulamise iga kahe aasta tagant</w:t>
      </w:r>
      <w:r w:rsidR="00596425">
        <w:rPr>
          <w:i/>
          <w:iCs/>
        </w:rPr>
        <w:t>, et mitte minna isikut vahetult ära kuulama 5 a</w:t>
      </w:r>
      <w:r w:rsidR="007321F1">
        <w:rPr>
          <w:i/>
          <w:iCs/>
        </w:rPr>
        <w:t>astase</w:t>
      </w:r>
      <w:r w:rsidR="00596425">
        <w:rPr>
          <w:i/>
          <w:iCs/>
        </w:rPr>
        <w:t xml:space="preserve"> tähtaja saabudes. </w:t>
      </w:r>
      <w:r w:rsidR="00D71095" w:rsidRPr="00D8213C">
        <w:rPr>
          <w:i/>
          <w:iCs/>
        </w:rPr>
        <w:t xml:space="preserve">Selline ärakuulamine ei aita ressurssi kokku hoida ja </w:t>
      </w:r>
      <w:r w:rsidR="00596425">
        <w:rPr>
          <w:i/>
          <w:iCs/>
        </w:rPr>
        <w:t xml:space="preserve">tekib küsimus, </w:t>
      </w:r>
      <w:r w:rsidR="00D71095" w:rsidRPr="00D8213C">
        <w:rPr>
          <w:i/>
          <w:iCs/>
        </w:rPr>
        <w:t xml:space="preserve">millise menetluse raames </w:t>
      </w:r>
      <w:r>
        <w:rPr>
          <w:i/>
          <w:iCs/>
        </w:rPr>
        <w:t xml:space="preserve">kohus </w:t>
      </w:r>
      <w:r w:rsidR="00D71095" w:rsidRPr="00D8213C">
        <w:rPr>
          <w:i/>
          <w:iCs/>
        </w:rPr>
        <w:t>isikut iga 2 a</w:t>
      </w:r>
      <w:r w:rsidR="007321F1">
        <w:rPr>
          <w:i/>
          <w:iCs/>
        </w:rPr>
        <w:t>asta</w:t>
      </w:r>
      <w:r w:rsidR="00D71095" w:rsidRPr="00D8213C">
        <w:rPr>
          <w:i/>
          <w:iCs/>
        </w:rPr>
        <w:t xml:space="preserve"> tagant ära kuula</w:t>
      </w:r>
      <w:r>
        <w:rPr>
          <w:i/>
          <w:iCs/>
        </w:rPr>
        <w:t>b</w:t>
      </w:r>
      <w:r w:rsidR="00596425">
        <w:rPr>
          <w:i/>
          <w:iCs/>
        </w:rPr>
        <w:t xml:space="preserve">. </w:t>
      </w:r>
    </w:p>
    <w:p w14:paraId="71F85E0A" w14:textId="77777777" w:rsidR="00596425" w:rsidRDefault="00596425" w:rsidP="00D71095">
      <w:pPr>
        <w:jc w:val="both"/>
        <w:rPr>
          <w:i/>
          <w:iCs/>
        </w:rPr>
      </w:pPr>
    </w:p>
    <w:p w14:paraId="470809A8" w14:textId="379AB44C" w:rsidR="00D71095" w:rsidRPr="00D8213C" w:rsidRDefault="00D71095" w:rsidP="00D71095">
      <w:pPr>
        <w:jc w:val="both"/>
        <w:rPr>
          <w:i/>
          <w:iCs/>
        </w:rPr>
      </w:pPr>
      <w:proofErr w:type="spellStart"/>
      <w:r w:rsidRPr="00D8213C">
        <w:rPr>
          <w:i/>
          <w:iCs/>
        </w:rPr>
        <w:t>TsMS</w:t>
      </w:r>
      <w:proofErr w:type="spellEnd"/>
      <w:r w:rsidRPr="00D8213C">
        <w:rPr>
          <w:i/>
          <w:iCs/>
        </w:rPr>
        <w:t xml:space="preserve"> § 16 muudatus </w:t>
      </w:r>
      <w:r w:rsidR="00596425">
        <w:rPr>
          <w:i/>
          <w:iCs/>
        </w:rPr>
        <w:t>–</w:t>
      </w:r>
      <w:r w:rsidR="00487C4F" w:rsidRPr="00D8213C">
        <w:rPr>
          <w:i/>
          <w:iCs/>
        </w:rPr>
        <w:t xml:space="preserve"> </w:t>
      </w:r>
      <w:r w:rsidR="00596425">
        <w:rPr>
          <w:i/>
          <w:iCs/>
        </w:rPr>
        <w:t xml:space="preserve">arusaamatu, </w:t>
      </w:r>
      <w:r w:rsidRPr="00D8213C">
        <w:rPr>
          <w:i/>
          <w:iCs/>
        </w:rPr>
        <w:t>kuidas jõuab esimeheni info ja teadmine, et mingi asi on eriliselt keerukas ja/või põhimõtteliselt tähtis? Või mis on see „muu juhus, õigusemõistmise huvides“? Haldus</w:t>
      </w:r>
      <w:r w:rsidR="00487C4F" w:rsidRPr="00D8213C">
        <w:rPr>
          <w:i/>
          <w:iCs/>
        </w:rPr>
        <w:t>menetluses</w:t>
      </w:r>
      <w:r w:rsidRPr="00D8213C">
        <w:rPr>
          <w:i/>
          <w:iCs/>
        </w:rPr>
        <w:t xml:space="preserve"> (mida eeskujuks tuuakse) on suur avalik huvi sisse programmeeritud, tsiviilõiguses</w:t>
      </w:r>
      <w:r w:rsidR="00596425">
        <w:rPr>
          <w:i/>
          <w:iCs/>
        </w:rPr>
        <w:t>,</w:t>
      </w:r>
      <w:r w:rsidRPr="00D8213C">
        <w:rPr>
          <w:i/>
          <w:iCs/>
        </w:rPr>
        <w:t xml:space="preserve"> kui eraõiguslike nõuete vaidluses</w:t>
      </w:r>
      <w:r w:rsidR="00596425">
        <w:rPr>
          <w:i/>
          <w:iCs/>
        </w:rPr>
        <w:t>,</w:t>
      </w:r>
      <w:r w:rsidRPr="00D8213C">
        <w:rPr>
          <w:i/>
          <w:iCs/>
        </w:rPr>
        <w:t xml:space="preserve"> ei saa vähemalt seda küsimust tekkida. </w:t>
      </w:r>
      <w:proofErr w:type="spellStart"/>
      <w:r w:rsidRPr="00D8213C">
        <w:rPr>
          <w:i/>
          <w:iCs/>
        </w:rPr>
        <w:t>TsMS</w:t>
      </w:r>
      <w:proofErr w:type="spellEnd"/>
      <w:r w:rsidRPr="00D8213C">
        <w:rPr>
          <w:i/>
          <w:iCs/>
        </w:rPr>
        <w:t xml:space="preserve"> § 16 tänane kommentaar ütleb selle 3-liikmelise koosseisu võimaluse osas, et „võimalikud seadusemuudatused vajavad kindlasti eelnevat põhjalikku analüüsi“.</w:t>
      </w:r>
      <w:r w:rsidR="00487C4F" w:rsidRPr="00D8213C">
        <w:rPr>
          <w:i/>
          <w:iCs/>
        </w:rPr>
        <w:t xml:space="preserve"> Ei ole näha</w:t>
      </w:r>
      <w:r w:rsidRPr="00D8213C">
        <w:rPr>
          <w:i/>
          <w:iCs/>
        </w:rPr>
        <w:t>, et sellele eelnõule oleks analüüsi mistahes kujul tehtud ja lisatud.</w:t>
      </w:r>
    </w:p>
    <w:p w14:paraId="1A7F044F" w14:textId="58BCDBF8" w:rsidR="00206D0D" w:rsidRDefault="00D71095" w:rsidP="00D71095">
      <w:pPr>
        <w:jc w:val="both"/>
        <w:rPr>
          <w:i/>
          <w:iCs/>
        </w:rPr>
      </w:pPr>
      <w:proofErr w:type="spellStart"/>
      <w:r w:rsidRPr="00D8213C">
        <w:rPr>
          <w:i/>
          <w:iCs/>
        </w:rPr>
        <w:lastRenderedPageBreak/>
        <w:t>TsMS</w:t>
      </w:r>
      <w:proofErr w:type="spellEnd"/>
      <w:r w:rsidRPr="00D8213C">
        <w:rPr>
          <w:i/>
          <w:iCs/>
        </w:rPr>
        <w:t xml:space="preserve"> § 49</w:t>
      </w:r>
      <w:r w:rsidR="00487C4F" w:rsidRPr="00D8213C">
        <w:rPr>
          <w:i/>
          <w:iCs/>
        </w:rPr>
        <w:t xml:space="preserve"> </w:t>
      </w:r>
      <w:r w:rsidR="00596425">
        <w:rPr>
          <w:i/>
          <w:iCs/>
        </w:rPr>
        <w:t xml:space="preserve">on </w:t>
      </w:r>
      <w:r w:rsidRPr="00D8213C">
        <w:rPr>
          <w:i/>
          <w:iCs/>
        </w:rPr>
        <w:t xml:space="preserve">täiesti vastuvõetamatu, põhjendamatu muudatus. Ka tänase seaduse kohaselt on kohtunikul endal võimalik protokolli teha (vt </w:t>
      </w:r>
      <w:proofErr w:type="spellStart"/>
      <w:r w:rsidRPr="00D8213C">
        <w:rPr>
          <w:i/>
          <w:iCs/>
        </w:rPr>
        <w:t>TsMS</w:t>
      </w:r>
      <w:proofErr w:type="spellEnd"/>
      <w:r w:rsidRPr="00D8213C">
        <w:rPr>
          <w:i/>
          <w:iCs/>
        </w:rPr>
        <w:t xml:space="preserve"> § 49 komm</w:t>
      </w:r>
      <w:r w:rsidR="00596425">
        <w:rPr>
          <w:i/>
          <w:iCs/>
        </w:rPr>
        <w:t xml:space="preserve"> </w:t>
      </w:r>
      <w:r w:rsidRPr="00D8213C">
        <w:rPr>
          <w:i/>
          <w:iCs/>
        </w:rPr>
        <w:t>3.5), ka täna seisneb (ideaalis) protokoll kohtuniku poolt tehtavates kokkuvõtetes (§ 49 lg 2 2.lause alusel, vt komm 3.6 ). Protokolli tehniline koostamine ei ole õigusemõistmine ehk ülesanne, mille kohtunikule saaks kohustuslikuks ja valdavaks  teha.</w:t>
      </w:r>
      <w:r w:rsidR="00D8213C" w:rsidRPr="00D8213C">
        <w:rPr>
          <w:i/>
          <w:iCs/>
        </w:rPr>
        <w:t xml:space="preserve"> </w:t>
      </w:r>
      <w:r w:rsidRPr="00D8213C">
        <w:rPr>
          <w:i/>
          <w:iCs/>
        </w:rPr>
        <w:t>Sh nt lahendada olukordi</w:t>
      </w:r>
      <w:r w:rsidR="00206D0D">
        <w:rPr>
          <w:i/>
          <w:iCs/>
        </w:rPr>
        <w:t xml:space="preserve">, </w:t>
      </w:r>
      <w:r w:rsidRPr="00D8213C">
        <w:rPr>
          <w:i/>
          <w:iCs/>
        </w:rPr>
        <w:t xml:space="preserve">kui videos kellelgi midagi hangub või </w:t>
      </w:r>
      <w:r w:rsidR="00206D0D">
        <w:rPr>
          <w:i/>
          <w:iCs/>
        </w:rPr>
        <w:t>kui</w:t>
      </w:r>
      <w:r w:rsidRPr="00D8213C">
        <w:rPr>
          <w:i/>
          <w:iCs/>
        </w:rPr>
        <w:t xml:space="preserve"> heli või pilt kaob vms. Mis on kahjuks küllalt sage ja mille</w:t>
      </w:r>
      <w:r w:rsidR="00206D0D">
        <w:rPr>
          <w:i/>
          <w:iCs/>
        </w:rPr>
        <w:t xml:space="preserve">ga </w:t>
      </w:r>
      <w:r w:rsidRPr="00D8213C">
        <w:rPr>
          <w:i/>
          <w:iCs/>
        </w:rPr>
        <w:t>väga tublid sekretärid</w:t>
      </w:r>
      <w:r w:rsidR="00206D0D">
        <w:rPr>
          <w:i/>
          <w:iCs/>
        </w:rPr>
        <w:t xml:space="preserve"> väga hästi hakkama saavad</w:t>
      </w:r>
      <w:r w:rsidRPr="00D8213C">
        <w:rPr>
          <w:i/>
          <w:iCs/>
        </w:rPr>
        <w:t xml:space="preserve">. Kui ei ole tegemist ei keeruka ega mahuka asjaga, aga on siiski nt kaks tunnistajat, kes maja ruumiplaani kohaselt ei oota mitte saali ukse taga, vaid on maja muul korrusel (nt Rakvere majas on ootesaal ühel korrusel ja maja </w:t>
      </w:r>
      <w:r w:rsidR="00206D0D">
        <w:rPr>
          <w:i/>
          <w:iCs/>
        </w:rPr>
        <w:t xml:space="preserve">kolm </w:t>
      </w:r>
      <w:r w:rsidRPr="00D8213C">
        <w:rPr>
          <w:i/>
          <w:iCs/>
        </w:rPr>
        <w:t>saali teisel korrusel), siis kas kohtunik tõuseb vahepeal saalist püsti ja läheb tunnistajat kutsuma? Kui saal asub piiratud ligipääsuga</w:t>
      </w:r>
      <w:r w:rsidR="007321F1">
        <w:rPr>
          <w:i/>
          <w:iCs/>
        </w:rPr>
        <w:t xml:space="preserve">, </w:t>
      </w:r>
      <w:r w:rsidRPr="00D8213C">
        <w:rPr>
          <w:i/>
          <w:iCs/>
        </w:rPr>
        <w:t>nn turvatsoonis, siis kas olukorras</w:t>
      </w:r>
      <w:r w:rsidR="00D8213C" w:rsidRPr="00D8213C">
        <w:rPr>
          <w:i/>
          <w:iCs/>
        </w:rPr>
        <w:t xml:space="preserve">, </w:t>
      </w:r>
      <w:r w:rsidRPr="00D8213C">
        <w:rPr>
          <w:i/>
          <w:iCs/>
        </w:rPr>
        <w:t>kui keegi vahepeal saalist väljub (nt kompromissi arutama või kui keegi hilineb), kas siis kohtunik läheb saalist välja, et isik uksest sisse lasta? Uuendusmeelsetel kohtunikel on ka täna võimalik ise protokolli teha, aga seda ei saa ega tohi teha</w:t>
      </w:r>
      <w:r w:rsidR="00206D0D">
        <w:rPr>
          <w:i/>
          <w:iCs/>
        </w:rPr>
        <w:t xml:space="preserve"> kõigile</w:t>
      </w:r>
      <w:r w:rsidRPr="00D8213C">
        <w:rPr>
          <w:i/>
          <w:iCs/>
        </w:rPr>
        <w:t xml:space="preserve"> kohustuslikuks. See ei ole asjakohane meede protokollide lühemaks saamiseks.</w:t>
      </w:r>
      <w:r w:rsidR="00206D0D">
        <w:rPr>
          <w:i/>
          <w:iCs/>
        </w:rPr>
        <w:t xml:space="preserve"> </w:t>
      </w:r>
      <w:r w:rsidR="00D8213C" w:rsidRPr="00D8213C">
        <w:rPr>
          <w:i/>
          <w:iCs/>
        </w:rPr>
        <w:t xml:space="preserve">Ei saa teha kohustuslikuks olukorda, kus kohtunikul ei ole saalis sekretäri. See, et kohtunik peab ütlema, mis kokkuvõtet ta protokollis vajalikuks peab, on kehtiv ka täna ja selles osas polegi midagi vaielda. </w:t>
      </w:r>
    </w:p>
    <w:p w14:paraId="27CE8E85" w14:textId="77777777" w:rsidR="00206D0D" w:rsidRDefault="00206D0D" w:rsidP="00D71095">
      <w:pPr>
        <w:jc w:val="both"/>
        <w:rPr>
          <w:i/>
          <w:iCs/>
        </w:rPr>
      </w:pPr>
    </w:p>
    <w:p w14:paraId="4FD0F63E" w14:textId="77777777" w:rsidR="00205E27" w:rsidRDefault="00D71095" w:rsidP="00205E27">
      <w:pPr>
        <w:autoSpaceDE w:val="0"/>
        <w:autoSpaceDN w:val="0"/>
        <w:jc w:val="both"/>
        <w:rPr>
          <w:rFonts w:cs="Arial"/>
          <w:i/>
          <w:iCs/>
          <w:color w:val="000000"/>
          <w:szCs w:val="20"/>
        </w:rPr>
      </w:pPr>
      <w:proofErr w:type="spellStart"/>
      <w:r w:rsidRPr="00205E27">
        <w:rPr>
          <w:rFonts w:cs="Arial"/>
          <w:i/>
          <w:iCs/>
          <w:szCs w:val="20"/>
        </w:rPr>
        <w:t>TsMS</w:t>
      </w:r>
      <w:proofErr w:type="spellEnd"/>
      <w:r w:rsidRPr="00205E27">
        <w:rPr>
          <w:rFonts w:cs="Arial"/>
          <w:i/>
          <w:iCs/>
          <w:szCs w:val="20"/>
        </w:rPr>
        <w:t xml:space="preserve"> § 51 lg 11 ja 12</w:t>
      </w:r>
      <w:r w:rsidR="00D8213C" w:rsidRPr="00205E27">
        <w:rPr>
          <w:rFonts w:cs="Arial"/>
          <w:i/>
          <w:iCs/>
          <w:szCs w:val="20"/>
        </w:rPr>
        <w:t xml:space="preserve"> - i</w:t>
      </w:r>
      <w:r w:rsidRPr="00205E27">
        <w:rPr>
          <w:rFonts w:cs="Arial"/>
          <w:i/>
          <w:iCs/>
          <w:szCs w:val="20"/>
        </w:rPr>
        <w:t xml:space="preserve">seenesest on tervitatav salvestise lugemine tõenduslikult samaväärseks </w:t>
      </w:r>
      <w:proofErr w:type="spellStart"/>
      <w:r w:rsidRPr="00205E27">
        <w:rPr>
          <w:rFonts w:cs="Arial"/>
          <w:i/>
          <w:iCs/>
          <w:szCs w:val="20"/>
        </w:rPr>
        <w:t>tekstilise</w:t>
      </w:r>
      <w:proofErr w:type="spellEnd"/>
      <w:r w:rsidRPr="00205E27">
        <w:rPr>
          <w:rFonts w:cs="Arial"/>
          <w:i/>
          <w:iCs/>
          <w:szCs w:val="20"/>
        </w:rPr>
        <w:t xml:space="preserve"> protokolliga</w:t>
      </w:r>
      <w:r w:rsidR="00206D0D" w:rsidRPr="00205E27">
        <w:rPr>
          <w:rFonts w:cs="Arial"/>
          <w:i/>
          <w:iCs/>
          <w:szCs w:val="20"/>
        </w:rPr>
        <w:t>. K</w:t>
      </w:r>
      <w:r w:rsidRPr="00205E27">
        <w:rPr>
          <w:rFonts w:cs="Arial"/>
          <w:i/>
          <w:iCs/>
          <w:szCs w:val="20"/>
        </w:rPr>
        <w:t>ui seda aga viiakse ellu mitte kohtumenetluse tõhustamise abinõu sildi all vaid tööjõukulude kärpimiseks, siis see on küsitav. Muudatuse selgitus kinnitab aimdust</w:t>
      </w:r>
      <w:r w:rsidR="00206D0D" w:rsidRPr="00205E27">
        <w:rPr>
          <w:rFonts w:cs="Arial"/>
          <w:i/>
          <w:iCs/>
          <w:szCs w:val="20"/>
        </w:rPr>
        <w:t xml:space="preserve"> </w:t>
      </w:r>
      <w:r w:rsidRPr="00205E27">
        <w:rPr>
          <w:rFonts w:cs="Arial"/>
          <w:i/>
          <w:iCs/>
          <w:szCs w:val="20"/>
        </w:rPr>
        <w:t>- eesm</w:t>
      </w:r>
      <w:r w:rsidR="00D8213C" w:rsidRPr="00205E27">
        <w:rPr>
          <w:rFonts w:cs="Arial"/>
          <w:i/>
          <w:iCs/>
          <w:szCs w:val="20"/>
        </w:rPr>
        <w:t>ä</w:t>
      </w:r>
      <w:r w:rsidRPr="00205E27">
        <w:rPr>
          <w:rFonts w:cs="Arial"/>
          <w:i/>
          <w:iCs/>
          <w:szCs w:val="20"/>
        </w:rPr>
        <w:t>rk on hoida kokku raha. Ehk loome aluse sekretäride koondamise põhistamiseks.</w:t>
      </w:r>
      <w:r w:rsidR="00D8213C" w:rsidRPr="00205E27">
        <w:rPr>
          <w:rFonts w:cs="Arial"/>
          <w:i/>
          <w:iCs/>
          <w:szCs w:val="20"/>
        </w:rPr>
        <w:t xml:space="preserve"> </w:t>
      </w:r>
      <w:r w:rsidRPr="00205E27">
        <w:rPr>
          <w:rFonts w:cs="Arial"/>
          <w:i/>
          <w:iCs/>
          <w:szCs w:val="20"/>
        </w:rPr>
        <w:t xml:space="preserve">Tänane seis ongi juba selline, et üks sekretär teenindab </w:t>
      </w:r>
      <w:proofErr w:type="spellStart"/>
      <w:r w:rsidRPr="00205E27">
        <w:rPr>
          <w:rFonts w:cs="Arial"/>
          <w:i/>
          <w:iCs/>
          <w:szCs w:val="20"/>
        </w:rPr>
        <w:t>kahte-kolme</w:t>
      </w:r>
      <w:proofErr w:type="spellEnd"/>
      <w:r w:rsidRPr="00205E27">
        <w:rPr>
          <w:rFonts w:cs="Arial"/>
          <w:i/>
          <w:iCs/>
          <w:szCs w:val="20"/>
        </w:rPr>
        <w:t xml:space="preserve"> kohtunikku. </w:t>
      </w:r>
      <w:r w:rsidR="00205E27" w:rsidRPr="00205E27">
        <w:rPr>
          <w:rFonts w:cs="Arial"/>
          <w:i/>
          <w:iCs/>
          <w:color w:val="000000"/>
          <w:szCs w:val="20"/>
        </w:rPr>
        <w:t xml:space="preserve">Sekretäride arvu täiendaval vähendamisel võib juba olemasolevate sekretäride töökoormuse põhjal ette näha, et suutlikkus menetluse tõhusaks korraldamiseks väheneb märkimisväärselt. </w:t>
      </w:r>
    </w:p>
    <w:p w14:paraId="35D6D657" w14:textId="77777777" w:rsidR="00205E27" w:rsidRDefault="00205E27" w:rsidP="00205E27">
      <w:pPr>
        <w:autoSpaceDE w:val="0"/>
        <w:autoSpaceDN w:val="0"/>
        <w:jc w:val="both"/>
        <w:rPr>
          <w:rFonts w:cs="Arial"/>
          <w:i/>
          <w:iCs/>
          <w:color w:val="000000"/>
          <w:szCs w:val="20"/>
        </w:rPr>
      </w:pPr>
    </w:p>
    <w:p w14:paraId="19C19585" w14:textId="1E83801F" w:rsidR="00D71095" w:rsidRPr="00D8213C" w:rsidRDefault="00D71095" w:rsidP="00205E27">
      <w:pPr>
        <w:autoSpaceDE w:val="0"/>
        <w:autoSpaceDN w:val="0"/>
        <w:jc w:val="both"/>
        <w:rPr>
          <w:i/>
          <w:iCs/>
        </w:rPr>
      </w:pPr>
      <w:proofErr w:type="spellStart"/>
      <w:r w:rsidRPr="00D8213C">
        <w:rPr>
          <w:i/>
          <w:iCs/>
        </w:rPr>
        <w:t>TsMS</w:t>
      </w:r>
      <w:proofErr w:type="spellEnd"/>
      <w:r w:rsidRPr="00D8213C">
        <w:rPr>
          <w:i/>
          <w:iCs/>
        </w:rPr>
        <w:t xml:space="preserve"> § 310-2</w:t>
      </w:r>
      <w:r w:rsidR="00D8213C" w:rsidRPr="00D8213C">
        <w:rPr>
          <w:i/>
          <w:iCs/>
        </w:rPr>
        <w:t xml:space="preserve"> - m</w:t>
      </w:r>
      <w:r w:rsidRPr="00D8213C">
        <w:rPr>
          <w:i/>
          <w:iCs/>
        </w:rPr>
        <w:t>is on see hetk, kui „kohtul on kahtlus“? Sest kui antakse väga tugev õigus piirata riigilt saadavate rahaliste vahendite saamist, siis ei ole küsimus ainult infotehnoloogilistes andmebaaside muudatustes, vaid väljamaksete peatamiseks-piiramiseks peab olema materiaalõiguslik alus vastavates normides: ATS, Sotsiaalhoolekandeseadus, Perehüvitiste seadus, Riikliku pensionikindlustuse seadus jms. ATS § 34 lg 2 annab vaid ühe aluse palka mitte maksta. Perehüvitise seadus § 12 loetleb alused, mil hüvitise väljamaksmist saab peatada.</w:t>
      </w:r>
      <w:r w:rsidR="00CE1E94">
        <w:rPr>
          <w:i/>
          <w:iCs/>
        </w:rPr>
        <w:t xml:space="preserve"> </w:t>
      </w:r>
      <w:r w:rsidRPr="00D8213C">
        <w:rPr>
          <w:i/>
          <w:iCs/>
        </w:rPr>
        <w:t>Sotsiaalhoolekande seaduse erinevate teenuste riigi poolt tasu maksmise kohustuse ülevõtmise sätteid ei ole selle seaduse valguses plaanitud muuta selliselt, et riik ei võta kohustust üle</w:t>
      </w:r>
      <w:r w:rsidR="009E6420">
        <w:rPr>
          <w:i/>
          <w:iCs/>
        </w:rPr>
        <w:t xml:space="preserve">, </w:t>
      </w:r>
      <w:r w:rsidRPr="00D8213C">
        <w:rPr>
          <w:i/>
          <w:iCs/>
        </w:rPr>
        <w:t>kui isik on jätnud kohtumenetluses menetlusdokumendi tahtlikult vastu võtmata.</w:t>
      </w:r>
      <w:r w:rsidR="009E6420">
        <w:rPr>
          <w:i/>
          <w:iCs/>
        </w:rPr>
        <w:t xml:space="preserve"> </w:t>
      </w:r>
      <w:r w:rsidRPr="00D8213C">
        <w:rPr>
          <w:i/>
          <w:iCs/>
        </w:rPr>
        <w:t>Igasugusele sanktsioneerimisele peab kaasnema vaidlustamise võimalus. Siin seda reguleeritud pole. Kuidas selline tahtluse põhistamise-tõendamise kohta eeldatavalt</w:t>
      </w:r>
      <w:r w:rsidR="00D8213C">
        <w:rPr>
          <w:i/>
          <w:iCs/>
        </w:rPr>
        <w:t xml:space="preserve"> </w:t>
      </w:r>
      <w:r w:rsidRPr="00D8213C">
        <w:rPr>
          <w:i/>
          <w:iCs/>
        </w:rPr>
        <w:t>kaevatava määruse koostamine kohtumenetlust tõhustab?</w:t>
      </w:r>
    </w:p>
    <w:p w14:paraId="3291BEF9" w14:textId="77777777" w:rsidR="00D71095" w:rsidRDefault="00D71095" w:rsidP="00D71095">
      <w:pPr>
        <w:jc w:val="both"/>
      </w:pPr>
    </w:p>
    <w:p w14:paraId="1C51A73A" w14:textId="452EFF29" w:rsidR="00D71095" w:rsidRPr="00D8213C" w:rsidRDefault="00D71095" w:rsidP="00D71095">
      <w:pPr>
        <w:jc w:val="both"/>
        <w:rPr>
          <w:i/>
          <w:iCs/>
        </w:rPr>
      </w:pPr>
      <w:proofErr w:type="spellStart"/>
      <w:r w:rsidRPr="00D8213C">
        <w:rPr>
          <w:i/>
          <w:iCs/>
        </w:rPr>
        <w:t>TsMS</w:t>
      </w:r>
      <w:proofErr w:type="spellEnd"/>
      <w:r w:rsidRPr="00D8213C">
        <w:rPr>
          <w:i/>
          <w:iCs/>
        </w:rPr>
        <w:t xml:space="preserve"> § 441 lg 11</w:t>
      </w:r>
      <w:r w:rsidR="00D8213C" w:rsidRPr="00D8213C">
        <w:rPr>
          <w:i/>
          <w:iCs/>
        </w:rPr>
        <w:t xml:space="preserve"> - l</w:t>
      </w:r>
      <w:r w:rsidRPr="00D8213C">
        <w:rPr>
          <w:i/>
          <w:iCs/>
        </w:rPr>
        <w:t xml:space="preserve">ahendi digitaalallkirjastamine on üks lihtsamaid toiminguid. Ajakulu </w:t>
      </w:r>
      <w:proofErr w:type="spellStart"/>
      <w:r w:rsidRPr="00D8213C">
        <w:rPr>
          <w:i/>
          <w:iCs/>
        </w:rPr>
        <w:t>max</w:t>
      </w:r>
      <w:proofErr w:type="spellEnd"/>
      <w:r w:rsidRPr="00D8213C">
        <w:rPr>
          <w:i/>
          <w:iCs/>
        </w:rPr>
        <w:t xml:space="preserve"> 1-1,5 minutit. Eelnõust ei selgu, mis on siis see „usaldusväärne ja muu viis“.</w:t>
      </w:r>
    </w:p>
    <w:p w14:paraId="03891BB0" w14:textId="77777777" w:rsidR="00D71095" w:rsidRPr="00D8213C" w:rsidRDefault="00D71095" w:rsidP="00D71095">
      <w:pPr>
        <w:jc w:val="both"/>
        <w:rPr>
          <w:i/>
          <w:iCs/>
        </w:rPr>
      </w:pPr>
    </w:p>
    <w:p w14:paraId="6AEF2015" w14:textId="4C1FEC8D" w:rsidR="00D71095" w:rsidRPr="00D8213C" w:rsidRDefault="00D71095" w:rsidP="00D71095">
      <w:pPr>
        <w:jc w:val="both"/>
        <w:rPr>
          <w:i/>
          <w:iCs/>
        </w:rPr>
      </w:pPr>
      <w:proofErr w:type="spellStart"/>
      <w:r w:rsidRPr="00D8213C">
        <w:rPr>
          <w:i/>
          <w:iCs/>
        </w:rPr>
        <w:t>TsMS</w:t>
      </w:r>
      <w:proofErr w:type="spellEnd"/>
      <w:r w:rsidRPr="00D8213C">
        <w:rPr>
          <w:i/>
          <w:iCs/>
        </w:rPr>
        <w:t xml:space="preserve"> § 524 lg 4-1</w:t>
      </w:r>
      <w:r w:rsidR="00D8213C" w:rsidRPr="00D8213C">
        <w:rPr>
          <w:i/>
          <w:iCs/>
        </w:rPr>
        <w:t xml:space="preserve"> - e</w:t>
      </w:r>
      <w:r w:rsidRPr="00D8213C">
        <w:rPr>
          <w:i/>
          <w:iCs/>
        </w:rPr>
        <w:t>i saa muudatuse vajalikkusest, ajatelje mõttes</w:t>
      </w:r>
      <w:r w:rsidR="00133450">
        <w:rPr>
          <w:i/>
          <w:iCs/>
        </w:rPr>
        <w:t xml:space="preserve">, </w:t>
      </w:r>
      <w:r w:rsidRPr="00D8213C">
        <w:rPr>
          <w:i/>
          <w:iCs/>
        </w:rPr>
        <w:t>aru. Kas keegi käib täna eestkostealust isikut ära kuulamas igal aastal või iga kahe aasta tagant? Milline on statistiline analüüs, kui palju on määratud eestkostet tähtajaga 2-3 aastat, millisel juhul see videovõimalus tõesti võiks toimima hakata. Üldjuhul, julgen oma kogemuse põhjal arvata, 95% juhtudest määratakse eestkoste 5 a</w:t>
      </w:r>
      <w:r w:rsidR="00406C7D">
        <w:rPr>
          <w:i/>
          <w:iCs/>
        </w:rPr>
        <w:t>astaks</w:t>
      </w:r>
      <w:r w:rsidRPr="00D8213C">
        <w:rPr>
          <w:i/>
          <w:iCs/>
        </w:rPr>
        <w:t xml:space="preserve"> ja isiku ärakuulamisega tegelebki kohus siis, kui see aeg hakkab täis saama. Ca 15-20 % juhtumitest võiks juba </w:t>
      </w:r>
      <w:r w:rsidR="00D8213C" w:rsidRPr="00D8213C">
        <w:rPr>
          <w:i/>
          <w:iCs/>
        </w:rPr>
        <w:t xml:space="preserve">eestkostet </w:t>
      </w:r>
      <w:r w:rsidRPr="00D8213C">
        <w:rPr>
          <w:i/>
          <w:iCs/>
        </w:rPr>
        <w:t>algselt määratagi elupuhuselt.</w:t>
      </w:r>
      <w:r w:rsidR="00D8213C" w:rsidRPr="00D8213C">
        <w:rPr>
          <w:i/>
          <w:iCs/>
        </w:rPr>
        <w:t xml:space="preserve"> </w:t>
      </w:r>
      <w:r w:rsidRPr="00D8213C">
        <w:rPr>
          <w:i/>
          <w:iCs/>
        </w:rPr>
        <w:t>Tegelikkus</w:t>
      </w:r>
      <w:r w:rsidR="009E6420">
        <w:rPr>
          <w:i/>
          <w:iCs/>
        </w:rPr>
        <w:t>es</w:t>
      </w:r>
      <w:r w:rsidRPr="00D8213C">
        <w:rPr>
          <w:i/>
          <w:iCs/>
        </w:rPr>
        <w:t xml:space="preserve"> tuleb </w:t>
      </w:r>
      <w:r w:rsidR="00205E27">
        <w:rPr>
          <w:i/>
          <w:iCs/>
        </w:rPr>
        <w:t xml:space="preserve">aga </w:t>
      </w:r>
      <w:r w:rsidRPr="00D8213C">
        <w:rPr>
          <w:i/>
          <w:iCs/>
        </w:rPr>
        <w:t xml:space="preserve">välja, et kui </w:t>
      </w:r>
      <w:r w:rsidR="009E6420">
        <w:rPr>
          <w:i/>
          <w:iCs/>
        </w:rPr>
        <w:t xml:space="preserve">kohus on </w:t>
      </w:r>
      <w:r w:rsidR="00205E27">
        <w:rPr>
          <w:i/>
          <w:iCs/>
        </w:rPr>
        <w:t xml:space="preserve">eestkostet </w:t>
      </w:r>
      <w:r w:rsidRPr="00D8213C">
        <w:rPr>
          <w:i/>
          <w:iCs/>
        </w:rPr>
        <w:t>määranud</w:t>
      </w:r>
      <w:r w:rsidR="00205E27">
        <w:rPr>
          <w:i/>
          <w:iCs/>
        </w:rPr>
        <w:t xml:space="preserve"> või </w:t>
      </w:r>
      <w:r w:rsidRPr="00D8213C">
        <w:rPr>
          <w:i/>
          <w:iCs/>
        </w:rPr>
        <w:t xml:space="preserve">pikendanud 5 </w:t>
      </w:r>
      <w:r w:rsidR="00406C7D">
        <w:rPr>
          <w:i/>
          <w:iCs/>
        </w:rPr>
        <w:t>aasta</w:t>
      </w:r>
      <w:r w:rsidRPr="00D8213C">
        <w:rPr>
          <w:i/>
          <w:iCs/>
        </w:rPr>
        <w:t>ks</w:t>
      </w:r>
      <w:r w:rsidR="00406C7D">
        <w:rPr>
          <w:i/>
          <w:iCs/>
        </w:rPr>
        <w:t xml:space="preserve"> </w:t>
      </w:r>
      <w:r w:rsidRPr="00D8213C">
        <w:rPr>
          <w:i/>
          <w:iCs/>
        </w:rPr>
        <w:t>ja pea</w:t>
      </w:r>
      <w:r w:rsidR="00205E27">
        <w:rPr>
          <w:i/>
          <w:iCs/>
        </w:rPr>
        <w:t>b</w:t>
      </w:r>
      <w:r w:rsidRPr="00D8213C">
        <w:rPr>
          <w:i/>
          <w:iCs/>
        </w:rPr>
        <w:t xml:space="preserve"> isiku ära kuualam ca iga 4,5 a</w:t>
      </w:r>
      <w:r w:rsidR="00406C7D">
        <w:rPr>
          <w:i/>
          <w:iCs/>
        </w:rPr>
        <w:t>asta</w:t>
      </w:r>
      <w:r w:rsidRPr="00D8213C">
        <w:rPr>
          <w:i/>
          <w:iCs/>
        </w:rPr>
        <w:t xml:space="preserve"> tagant, siis video teel seda ikkagi teha ei saa, kuna möödunud on rohkem kui 3 aastat. Kui </w:t>
      </w:r>
      <w:r w:rsidR="00205E27">
        <w:rPr>
          <w:i/>
          <w:iCs/>
        </w:rPr>
        <w:t xml:space="preserve">kohus </w:t>
      </w:r>
      <w:r w:rsidRPr="00D8213C">
        <w:rPr>
          <w:i/>
          <w:iCs/>
        </w:rPr>
        <w:t>tahaks kasutada nn viienda aasta saabumisel videovõimalust, siis tavapärase 1</w:t>
      </w:r>
      <w:r w:rsidR="00205E27">
        <w:rPr>
          <w:i/>
          <w:iCs/>
        </w:rPr>
        <w:t xml:space="preserve"> </w:t>
      </w:r>
      <w:r w:rsidRPr="00D8213C">
        <w:rPr>
          <w:i/>
          <w:iCs/>
        </w:rPr>
        <w:t>x 5 a</w:t>
      </w:r>
      <w:r w:rsidR="00406C7D">
        <w:rPr>
          <w:i/>
          <w:iCs/>
        </w:rPr>
        <w:t>asta</w:t>
      </w:r>
      <w:r w:rsidRPr="00D8213C">
        <w:rPr>
          <w:i/>
          <w:iCs/>
        </w:rPr>
        <w:t xml:space="preserve"> jooksul ärakuulamise asemel, pea</w:t>
      </w:r>
      <w:r w:rsidR="00205E27">
        <w:rPr>
          <w:i/>
          <w:iCs/>
        </w:rPr>
        <w:t>ks</w:t>
      </w:r>
      <w:r w:rsidRPr="00D8213C">
        <w:rPr>
          <w:i/>
          <w:iCs/>
        </w:rPr>
        <w:t xml:space="preserve"> seda tegema enne kolme aasta möödumist</w:t>
      </w:r>
      <w:r w:rsidR="00205E27">
        <w:rPr>
          <w:i/>
          <w:iCs/>
        </w:rPr>
        <w:t xml:space="preserve">, </w:t>
      </w:r>
      <w:r w:rsidRPr="00D8213C">
        <w:rPr>
          <w:i/>
          <w:iCs/>
        </w:rPr>
        <w:t>ehk kulutama nii aega kui ressurssi (autotransport) senisest rohkemgi.</w:t>
      </w:r>
    </w:p>
    <w:p w14:paraId="72AEAA2E" w14:textId="77777777" w:rsidR="00D71095" w:rsidRDefault="00D71095" w:rsidP="00D71095">
      <w:pPr>
        <w:jc w:val="both"/>
      </w:pPr>
    </w:p>
    <w:p w14:paraId="31C39DEC" w14:textId="7CA06683" w:rsidR="00D71095" w:rsidRPr="00D8213C" w:rsidRDefault="00D71095" w:rsidP="00D71095">
      <w:pPr>
        <w:jc w:val="both"/>
        <w:rPr>
          <w:i/>
          <w:iCs/>
        </w:rPr>
      </w:pPr>
      <w:proofErr w:type="spellStart"/>
      <w:r w:rsidRPr="00D8213C">
        <w:rPr>
          <w:i/>
          <w:iCs/>
        </w:rPr>
        <w:t>TsMS</w:t>
      </w:r>
      <w:proofErr w:type="spellEnd"/>
      <w:r w:rsidRPr="00D8213C">
        <w:rPr>
          <w:i/>
          <w:iCs/>
        </w:rPr>
        <w:t xml:space="preserve">  § 524 lg 4-1 osas tekib eelmise lõiguga analoogne olukord.</w:t>
      </w:r>
    </w:p>
    <w:p w14:paraId="72C1F082" w14:textId="77777777" w:rsidR="00D8213C" w:rsidRDefault="00D8213C" w:rsidP="00D71095">
      <w:pPr>
        <w:jc w:val="both"/>
      </w:pPr>
    </w:p>
    <w:p w14:paraId="27493521" w14:textId="1716D89D" w:rsidR="00205E27" w:rsidRDefault="00D71095" w:rsidP="001D64BC">
      <w:pPr>
        <w:jc w:val="both"/>
      </w:pPr>
      <w:r w:rsidRPr="00D8213C">
        <w:rPr>
          <w:i/>
          <w:iCs/>
        </w:rPr>
        <w:t xml:space="preserve">TMS § 74 lg 8 muudatuse sõnastus on küsimusi tekitav- „Hinna vaidlustamise korral määrab kohtutäitur kaebaja uueks hindamiseks eksperdi.“ </w:t>
      </w:r>
      <w:r w:rsidR="00205E27">
        <w:rPr>
          <w:i/>
          <w:iCs/>
        </w:rPr>
        <w:t>Tekib küsimus, k</w:t>
      </w:r>
      <w:r w:rsidRPr="00D8213C">
        <w:rPr>
          <w:i/>
          <w:iCs/>
        </w:rPr>
        <w:t>as täitur määrab eksperdi kaebaja hindamiseks</w:t>
      </w:r>
      <w:r w:rsidR="00205E27">
        <w:rPr>
          <w:i/>
          <w:iCs/>
        </w:rPr>
        <w:t xml:space="preserve">. </w:t>
      </w:r>
      <w:r w:rsidRPr="00D8213C">
        <w:rPr>
          <w:i/>
          <w:iCs/>
        </w:rPr>
        <w:t xml:space="preserve"> </w:t>
      </w:r>
    </w:p>
    <w:p w14:paraId="003F2249" w14:textId="77777777" w:rsidR="00205E27" w:rsidRDefault="00205E27" w:rsidP="001D64BC">
      <w:pPr>
        <w:jc w:val="both"/>
      </w:pPr>
    </w:p>
    <w:p w14:paraId="5F2DC7AA" w14:textId="3E87F141" w:rsidR="00336BE8" w:rsidRDefault="00D8213C" w:rsidP="001D64BC">
      <w:pPr>
        <w:jc w:val="both"/>
      </w:pPr>
      <w:r>
        <w:t xml:space="preserve">Teine </w:t>
      </w:r>
      <w:r w:rsidR="00336BE8">
        <w:t>kohtunik leid</w:t>
      </w:r>
      <w:r w:rsidR="00205E27">
        <w:t>i</w:t>
      </w:r>
      <w:r w:rsidR="00336BE8">
        <w:t xml:space="preserve">s, et: </w:t>
      </w:r>
    </w:p>
    <w:p w14:paraId="467C8A51" w14:textId="77777777" w:rsidR="00336BE8" w:rsidRDefault="00336BE8" w:rsidP="001D64BC">
      <w:pPr>
        <w:jc w:val="both"/>
      </w:pPr>
    </w:p>
    <w:p w14:paraId="78DDFA0D" w14:textId="0E915C65" w:rsidR="00336BE8" w:rsidRPr="00D8213C" w:rsidRDefault="00336BE8" w:rsidP="00336BE8">
      <w:pPr>
        <w:pStyle w:val="Loendilik"/>
        <w:numPr>
          <w:ilvl w:val="0"/>
          <w:numId w:val="2"/>
        </w:numPr>
        <w:contextualSpacing w:val="0"/>
        <w:jc w:val="both"/>
        <w:rPr>
          <w:rFonts w:eastAsia="Times New Roman"/>
          <w:i/>
          <w:iCs/>
        </w:rPr>
      </w:pPr>
      <w:r w:rsidRPr="00D8213C">
        <w:rPr>
          <w:rFonts w:eastAsia="Times New Roman"/>
          <w:i/>
          <w:iCs/>
        </w:rPr>
        <w:t xml:space="preserve">Ettepanekutele võib ette heita sisulise analüüsi puudumist. Puudub analüüs, mis on praegune olukord, ja mida muudatustega püütakse saavutada. Nt muudetakse menetlusabi regulatsiooni (RÕS + </w:t>
      </w:r>
      <w:proofErr w:type="spellStart"/>
      <w:r w:rsidRPr="00D8213C">
        <w:rPr>
          <w:rFonts w:eastAsia="Times New Roman"/>
          <w:i/>
          <w:iCs/>
        </w:rPr>
        <w:t>TsMS</w:t>
      </w:r>
      <w:proofErr w:type="spellEnd"/>
      <w:r w:rsidRPr="00D8213C">
        <w:rPr>
          <w:rFonts w:eastAsia="Times New Roman"/>
          <w:i/>
          <w:iCs/>
        </w:rPr>
        <w:t xml:space="preserve">). Ootaks analüüsi, kui palju menetlusabi summaarselt antakse ja kui palju </w:t>
      </w:r>
      <w:r w:rsidRPr="00D8213C">
        <w:rPr>
          <w:rFonts w:eastAsia="Times New Roman"/>
          <w:i/>
          <w:iCs/>
        </w:rPr>
        <w:lastRenderedPageBreak/>
        <w:t xml:space="preserve">muudatus säästa aitab. Tsiviilasja lahendamine maakohtus kolmeliikmelises koosseis – Kui palju asju on selliselt lahendatud halduskohtus ning kas need lahendid on ka ringkonnakohtus püsima jäänud. Kinnisesse asutusse paigutamise menetlustes EÕK tähtaja pikendamine – kui palju </w:t>
      </w:r>
      <w:r w:rsidR="00205E27">
        <w:rPr>
          <w:rFonts w:eastAsia="Times New Roman"/>
          <w:i/>
          <w:iCs/>
        </w:rPr>
        <w:t xml:space="preserve">on </w:t>
      </w:r>
      <w:r w:rsidRPr="00D8213C">
        <w:rPr>
          <w:rFonts w:eastAsia="Times New Roman"/>
          <w:i/>
          <w:iCs/>
        </w:rPr>
        <w:t>selliseid asju, kus isik saab 10 päevaga psühhiaatriahaiglast välja. Korteriühistu majandamiskulude võlgnevuste viimine hagimenetlusse – kui palju on selliseid asju ja kui palju hagimenetluses lahendamine ressurssi säästaks. Määruskaebuste esitamise korra muutmine – kui palju maakohtud lahendeid tühistavad.</w:t>
      </w:r>
    </w:p>
    <w:p w14:paraId="76CEB76F" w14:textId="77777777" w:rsidR="00336BE8" w:rsidRPr="00D8213C" w:rsidRDefault="00336BE8" w:rsidP="00336BE8">
      <w:pPr>
        <w:pStyle w:val="Loendilik"/>
        <w:numPr>
          <w:ilvl w:val="0"/>
          <w:numId w:val="2"/>
        </w:numPr>
        <w:contextualSpacing w:val="0"/>
        <w:jc w:val="both"/>
        <w:rPr>
          <w:rFonts w:eastAsia="Times New Roman"/>
          <w:i/>
          <w:iCs/>
        </w:rPr>
      </w:pPr>
      <w:r w:rsidRPr="00D8213C">
        <w:rPr>
          <w:rFonts w:eastAsia="Times New Roman"/>
          <w:i/>
          <w:iCs/>
        </w:rPr>
        <w:t>RÕS p 2– RÕS § 10 lg 3-1 kehtetuks tunnistamine ja lg 3 ümbersõnastamine – ettepaneku järgi hakkab muu hulgas tsiviilasja kohtueelses menetluses esitatud riigi õigusabi taotlusi lahendama advokatuur. Advokatuuri otsuseid saab vaidlustada halduskohtus. Peaks mõtlema, kas see, et halduskohus hakkab hindama tsiviilasja edukust, on optimaalne lahendus.</w:t>
      </w:r>
    </w:p>
    <w:p w14:paraId="7360211F" w14:textId="69BC0605" w:rsidR="00336BE8" w:rsidRPr="00D8213C" w:rsidRDefault="00336BE8" w:rsidP="00336BE8">
      <w:pPr>
        <w:pStyle w:val="Loendilik"/>
        <w:numPr>
          <w:ilvl w:val="0"/>
          <w:numId w:val="2"/>
        </w:numPr>
        <w:contextualSpacing w:val="0"/>
        <w:jc w:val="both"/>
        <w:rPr>
          <w:rFonts w:eastAsia="Times New Roman"/>
          <w:i/>
          <w:iCs/>
        </w:rPr>
      </w:pPr>
      <w:proofErr w:type="spellStart"/>
      <w:r w:rsidRPr="00D8213C">
        <w:rPr>
          <w:rFonts w:eastAsia="Times New Roman"/>
          <w:i/>
          <w:iCs/>
        </w:rPr>
        <w:t>TsMS</w:t>
      </w:r>
      <w:proofErr w:type="spellEnd"/>
      <w:r w:rsidRPr="00D8213C">
        <w:rPr>
          <w:rFonts w:eastAsia="Times New Roman"/>
          <w:i/>
          <w:iCs/>
        </w:rPr>
        <w:t xml:space="preserve"> p 2 - protokollimine toimingu tegemise ajal – mitmete menetlustoimingute puhul ei ole samaaegne protokollimine võimalik (ärakuulamised). Protokollimine kohtuniku kokkuvõtte alusel ei arvesta, et tõlgiga istungitel kulub palju aega tõlkimisele. Kui tõlk peab kohtuniku kokkuvõtteid tõlkima, siis pikeneb istungite aeg veelgi.</w:t>
      </w:r>
    </w:p>
    <w:p w14:paraId="49E38F95" w14:textId="77777777" w:rsidR="00336BE8" w:rsidRPr="00D8213C" w:rsidRDefault="00336BE8" w:rsidP="00336BE8">
      <w:pPr>
        <w:pStyle w:val="Loendilik"/>
        <w:numPr>
          <w:ilvl w:val="0"/>
          <w:numId w:val="2"/>
        </w:numPr>
        <w:contextualSpacing w:val="0"/>
        <w:jc w:val="both"/>
        <w:rPr>
          <w:rFonts w:eastAsia="Times New Roman"/>
          <w:i/>
          <w:iCs/>
        </w:rPr>
      </w:pPr>
      <w:proofErr w:type="spellStart"/>
      <w:r w:rsidRPr="00D8213C">
        <w:rPr>
          <w:rFonts w:eastAsia="Times New Roman"/>
          <w:i/>
          <w:iCs/>
        </w:rPr>
        <w:t>TsMS</w:t>
      </w:r>
      <w:proofErr w:type="spellEnd"/>
      <w:r w:rsidRPr="00D8213C">
        <w:rPr>
          <w:rFonts w:eastAsia="Times New Roman"/>
          <w:i/>
          <w:iCs/>
        </w:rPr>
        <w:t xml:space="preserve"> p 8 – menetluskulude nimekirja esitamine pärast kohtuistungit – aitaks kaasa sellele, et menetluskulud on ühes dokumendis.</w:t>
      </w:r>
    </w:p>
    <w:p w14:paraId="3A082191" w14:textId="77777777" w:rsidR="00336BE8" w:rsidRPr="00D8213C" w:rsidRDefault="00336BE8" w:rsidP="00D71095">
      <w:pPr>
        <w:pStyle w:val="Loendilik"/>
        <w:numPr>
          <w:ilvl w:val="0"/>
          <w:numId w:val="2"/>
        </w:numPr>
        <w:contextualSpacing w:val="0"/>
        <w:jc w:val="both"/>
        <w:rPr>
          <w:rFonts w:eastAsia="Times New Roman"/>
          <w:i/>
          <w:iCs/>
        </w:rPr>
      </w:pPr>
      <w:proofErr w:type="spellStart"/>
      <w:r w:rsidRPr="00D8213C">
        <w:rPr>
          <w:rFonts w:eastAsia="Times New Roman"/>
          <w:i/>
          <w:iCs/>
        </w:rPr>
        <w:t>TsMS</w:t>
      </w:r>
      <w:proofErr w:type="spellEnd"/>
      <w:r w:rsidRPr="00D8213C">
        <w:rPr>
          <w:rFonts w:eastAsia="Times New Roman"/>
          <w:i/>
          <w:iCs/>
        </w:rPr>
        <w:t xml:space="preserve"> p 9 – menetluskulude kindlaksmääramise nõudmine 14 päeva jooksul pärast lahendi jõustumist – Ei selgu, kas kohus määrab menetluskulud kindlaks ilma taotluseta, kui asjaomane taotlus on esitatud varasemas menetluses. Kui menetlusosaline on menetluse jooksul taotlenud menetluskulude kindlaksmääramist, puudub põhjus, miks nõuda temalt täiendavat taotlust pärast lahendi jõustumist. Muudatus on relevantne siis, kui pole antud võimalust menetluskulude nimekirja esitamiseks ja nimekirja pole esitatud.</w:t>
      </w:r>
    </w:p>
    <w:p w14:paraId="64FC9ABB" w14:textId="77777777" w:rsidR="00336BE8" w:rsidRPr="00D8213C" w:rsidRDefault="00336BE8" w:rsidP="00D71095">
      <w:pPr>
        <w:pStyle w:val="Loendilik"/>
        <w:numPr>
          <w:ilvl w:val="0"/>
          <w:numId w:val="2"/>
        </w:numPr>
        <w:contextualSpacing w:val="0"/>
        <w:jc w:val="both"/>
        <w:rPr>
          <w:rFonts w:eastAsia="Times New Roman"/>
          <w:i/>
          <w:iCs/>
        </w:rPr>
      </w:pPr>
      <w:proofErr w:type="spellStart"/>
      <w:r w:rsidRPr="00D8213C">
        <w:rPr>
          <w:rFonts w:eastAsia="Times New Roman"/>
          <w:i/>
          <w:iCs/>
        </w:rPr>
        <w:t>TsMS</w:t>
      </w:r>
      <w:proofErr w:type="spellEnd"/>
      <w:r w:rsidRPr="00D8213C">
        <w:rPr>
          <w:rFonts w:eastAsia="Times New Roman"/>
          <w:i/>
          <w:iCs/>
        </w:rPr>
        <w:t xml:space="preserve"> p 2 – </w:t>
      </w:r>
      <w:proofErr w:type="spellStart"/>
      <w:r w:rsidRPr="00D8213C">
        <w:rPr>
          <w:rFonts w:eastAsia="Times New Roman"/>
          <w:i/>
          <w:iCs/>
        </w:rPr>
        <w:t>TsMS</w:t>
      </w:r>
      <w:proofErr w:type="spellEnd"/>
      <w:r w:rsidRPr="00D8213C">
        <w:rPr>
          <w:rFonts w:eastAsia="Times New Roman"/>
          <w:i/>
          <w:iCs/>
        </w:rPr>
        <w:t xml:space="preserve"> § 186 lg 5 – taotleja esitatud andmete õigsuse eeldamine – enamasti menetlusosalised ei esita täielikke andmeid oma majandusliku seisundi kohta. Kohus teeb alati lisapäringuid. Tundub, et sellel muudatusel on vastupidine eesmärk säästmisele, mida muidu ettepanekus on esile tõstetud.</w:t>
      </w:r>
    </w:p>
    <w:p w14:paraId="49C8D6B8" w14:textId="0FBA14D1" w:rsidR="00336BE8" w:rsidRPr="00D8213C" w:rsidRDefault="00336BE8" w:rsidP="00D71095">
      <w:pPr>
        <w:pStyle w:val="Loendilik"/>
        <w:numPr>
          <w:ilvl w:val="0"/>
          <w:numId w:val="2"/>
        </w:numPr>
        <w:contextualSpacing w:val="0"/>
        <w:jc w:val="both"/>
        <w:rPr>
          <w:rFonts w:eastAsia="Times New Roman"/>
          <w:i/>
          <w:iCs/>
        </w:rPr>
      </w:pPr>
      <w:proofErr w:type="spellStart"/>
      <w:r w:rsidRPr="00D8213C">
        <w:rPr>
          <w:rFonts w:eastAsia="Times New Roman"/>
          <w:i/>
          <w:iCs/>
        </w:rPr>
        <w:t>TsMS</w:t>
      </w:r>
      <w:proofErr w:type="spellEnd"/>
      <w:r w:rsidRPr="00D8213C">
        <w:rPr>
          <w:rFonts w:eastAsia="Times New Roman"/>
          <w:i/>
          <w:iCs/>
        </w:rPr>
        <w:t xml:space="preserve"> p 16 – </w:t>
      </w:r>
      <w:proofErr w:type="spellStart"/>
      <w:r w:rsidRPr="00D8213C">
        <w:rPr>
          <w:rFonts w:eastAsia="Times New Roman"/>
          <w:i/>
          <w:iCs/>
        </w:rPr>
        <w:t>TsMS</w:t>
      </w:r>
      <w:proofErr w:type="spellEnd"/>
      <w:r w:rsidRPr="00D8213C">
        <w:rPr>
          <w:rFonts w:eastAsia="Times New Roman"/>
          <w:i/>
          <w:iCs/>
        </w:rPr>
        <w:t xml:space="preserve"> § 310-2 –</w:t>
      </w:r>
      <w:r w:rsidR="00D71095" w:rsidRPr="00D8213C">
        <w:rPr>
          <w:rFonts w:eastAsia="Times New Roman"/>
          <w:i/>
          <w:iCs/>
        </w:rPr>
        <w:t xml:space="preserve"> </w:t>
      </w:r>
      <w:r w:rsidRPr="00D8213C">
        <w:rPr>
          <w:rFonts w:eastAsia="Times New Roman"/>
          <w:i/>
          <w:iCs/>
        </w:rPr>
        <w:t>selliste piirangute kehtestamine eeldab analüüsi (mida võib pidada proportsionaalseks) ning piirangud peavad olema väga selgelt sõnastatud. Lahtise loeteluga ei ole võimalik selliseid piiranguid kehtestada. Pigem peaks menetlusdokumendi kättetoimetamisega venitanud menetlusosalise jaoks olema võimalik kasutada menetluslike mõjutusvahendeid (s.o meetmed, mis seonduvad tema menetlusliku positsiooniga).</w:t>
      </w:r>
    </w:p>
    <w:p w14:paraId="38E22211" w14:textId="289347A5" w:rsidR="00336BE8" w:rsidRPr="00D8213C" w:rsidRDefault="00336BE8" w:rsidP="00D71095">
      <w:pPr>
        <w:pStyle w:val="Loendilik"/>
        <w:numPr>
          <w:ilvl w:val="0"/>
          <w:numId w:val="2"/>
        </w:numPr>
        <w:contextualSpacing w:val="0"/>
        <w:jc w:val="both"/>
        <w:rPr>
          <w:rFonts w:eastAsia="Times New Roman"/>
          <w:i/>
          <w:iCs/>
        </w:rPr>
      </w:pPr>
      <w:proofErr w:type="spellStart"/>
      <w:r w:rsidRPr="00D8213C">
        <w:rPr>
          <w:rFonts w:eastAsia="Times New Roman"/>
          <w:i/>
          <w:iCs/>
        </w:rPr>
        <w:t>TsMS</w:t>
      </w:r>
      <w:proofErr w:type="spellEnd"/>
      <w:r w:rsidRPr="00D8213C">
        <w:rPr>
          <w:rFonts w:eastAsia="Times New Roman"/>
          <w:i/>
          <w:iCs/>
        </w:rPr>
        <w:t xml:space="preserve"> p 22 – </w:t>
      </w:r>
      <w:proofErr w:type="spellStart"/>
      <w:r w:rsidRPr="00D8213C">
        <w:rPr>
          <w:rFonts w:eastAsia="Times New Roman"/>
          <w:i/>
          <w:iCs/>
        </w:rPr>
        <w:t>TsMS</w:t>
      </w:r>
      <w:proofErr w:type="spellEnd"/>
      <w:r w:rsidRPr="00D8213C">
        <w:rPr>
          <w:rFonts w:eastAsia="Times New Roman"/>
          <w:i/>
          <w:iCs/>
        </w:rPr>
        <w:t xml:space="preserve"> § 392 lg 6 –</w:t>
      </w:r>
      <w:r w:rsidR="00D71095" w:rsidRPr="00D8213C">
        <w:rPr>
          <w:rFonts w:eastAsia="Times New Roman"/>
          <w:i/>
          <w:iCs/>
        </w:rPr>
        <w:t xml:space="preserve"> </w:t>
      </w:r>
      <w:r w:rsidRPr="00D8213C">
        <w:rPr>
          <w:rFonts w:eastAsia="Times New Roman"/>
          <w:i/>
          <w:iCs/>
        </w:rPr>
        <w:t>pikenevate menetlustähtaegade ja asjade hulga suurenemise tingimustes tähendaks menetlusosalistele menetlusplaanide jms koostamine suurt lisatööd, mis vähendab veelgi aega täita õigusemõistmisega seotud ülesandeid.</w:t>
      </w:r>
    </w:p>
    <w:p w14:paraId="5641BC1E" w14:textId="78BE902F" w:rsidR="00336BE8" w:rsidRPr="00D8213C" w:rsidRDefault="00336BE8" w:rsidP="00D71095">
      <w:pPr>
        <w:pStyle w:val="Loendilik"/>
        <w:numPr>
          <w:ilvl w:val="0"/>
          <w:numId w:val="2"/>
        </w:numPr>
        <w:contextualSpacing w:val="0"/>
        <w:jc w:val="both"/>
        <w:rPr>
          <w:rFonts w:eastAsia="Times New Roman"/>
          <w:i/>
          <w:iCs/>
        </w:rPr>
      </w:pPr>
      <w:proofErr w:type="spellStart"/>
      <w:r w:rsidRPr="00D8213C">
        <w:rPr>
          <w:rFonts w:eastAsia="Times New Roman"/>
          <w:i/>
          <w:iCs/>
        </w:rPr>
        <w:t>TsMS</w:t>
      </w:r>
      <w:proofErr w:type="spellEnd"/>
      <w:r w:rsidRPr="00D8213C">
        <w:rPr>
          <w:rFonts w:eastAsia="Times New Roman"/>
          <w:i/>
          <w:iCs/>
        </w:rPr>
        <w:t xml:space="preserve"> p 36 –-määruskaebust esitamise korra muutmine – Kehtiv kord võimaldab maakohtunikul enda tehtud määrus tühistada. </w:t>
      </w:r>
      <w:r w:rsidR="00D71095" w:rsidRPr="00D8213C">
        <w:rPr>
          <w:rFonts w:eastAsia="Times New Roman"/>
          <w:i/>
          <w:iCs/>
        </w:rPr>
        <w:t>S</w:t>
      </w:r>
      <w:r w:rsidRPr="00D8213C">
        <w:rPr>
          <w:rFonts w:eastAsia="Times New Roman"/>
          <w:i/>
          <w:iCs/>
        </w:rPr>
        <w:t xml:space="preserve">ee </w:t>
      </w:r>
      <w:r w:rsidR="00D71095" w:rsidRPr="00D8213C">
        <w:rPr>
          <w:rFonts w:eastAsia="Times New Roman"/>
          <w:i/>
          <w:iCs/>
        </w:rPr>
        <w:t xml:space="preserve">on </w:t>
      </w:r>
      <w:r w:rsidRPr="00D8213C">
        <w:rPr>
          <w:rFonts w:eastAsia="Times New Roman"/>
          <w:i/>
          <w:iCs/>
        </w:rPr>
        <w:t>ökonoomne võimalus, sest MK-ga võivad menetlusosalised esitada uusi asjaolusid ja maakohus saab otsustada, kas ta on jätnud ise need asjaolud menetlussätteid rikkudes selgeks tegemata või mitte. Seisukohtade kogumine maakohtus võimaldab ringkonnakohtul efektiivsemalt määruskaebemenetlust läbi viia ning asjad ei jää seisukohtade pärast nii pikalt venima.</w:t>
      </w:r>
    </w:p>
    <w:p w14:paraId="3CD3E473" w14:textId="1D370023" w:rsidR="001D64BC" w:rsidRPr="00523532" w:rsidRDefault="00336BE8" w:rsidP="00F5221C">
      <w:pPr>
        <w:pStyle w:val="Loendilik"/>
        <w:numPr>
          <w:ilvl w:val="0"/>
          <w:numId w:val="2"/>
        </w:numPr>
        <w:contextualSpacing w:val="0"/>
        <w:jc w:val="both"/>
      </w:pPr>
      <w:r w:rsidRPr="00D8213C">
        <w:rPr>
          <w:rFonts w:eastAsia="Times New Roman"/>
          <w:i/>
          <w:iCs/>
        </w:rPr>
        <w:t>RÕS ja TsMS menetlusabi regulatsiooni muutmine (kolmekordne sissetulek senise kahekordse sissetuleku asemel) eeldab ka HKMS menetlusabi regulatsiooni muutmist</w:t>
      </w:r>
      <w:r w:rsidR="00D71095" w:rsidRPr="00D8213C">
        <w:rPr>
          <w:rFonts w:eastAsia="Times New Roman"/>
          <w:i/>
          <w:iCs/>
        </w:rPr>
        <w:t xml:space="preserve">. </w:t>
      </w:r>
    </w:p>
    <w:p w14:paraId="4CC5005C" w14:textId="77777777" w:rsidR="00523532" w:rsidRDefault="00523532" w:rsidP="00523532">
      <w:pPr>
        <w:jc w:val="both"/>
      </w:pPr>
    </w:p>
    <w:p w14:paraId="71D3607C" w14:textId="77777777" w:rsidR="00523532" w:rsidRDefault="00523532" w:rsidP="00523532">
      <w:pPr>
        <w:jc w:val="both"/>
      </w:pPr>
    </w:p>
    <w:p w14:paraId="005072A0" w14:textId="0D1FD986" w:rsidR="00523532" w:rsidRDefault="00523532" w:rsidP="00523532">
      <w:pPr>
        <w:jc w:val="both"/>
      </w:pPr>
      <w:r>
        <w:t xml:space="preserve">Kolmanda kohtuniku </w:t>
      </w:r>
      <w:r w:rsidRPr="00336BE8">
        <w:t>arvamus on lisatud käesolevale kirjale.</w:t>
      </w:r>
    </w:p>
    <w:p w14:paraId="689D9455" w14:textId="77777777" w:rsidR="00523532" w:rsidRDefault="00523532" w:rsidP="00523532">
      <w:pPr>
        <w:jc w:val="both"/>
      </w:pPr>
    </w:p>
    <w:p w14:paraId="38893397" w14:textId="77777777" w:rsidR="001D64BC" w:rsidRDefault="001D64BC" w:rsidP="0061728B">
      <w:pPr>
        <w:jc w:val="both"/>
      </w:pPr>
    </w:p>
    <w:p w14:paraId="3933C497" w14:textId="77777777" w:rsidR="001D64BC" w:rsidRPr="0061728B" w:rsidRDefault="001D64BC" w:rsidP="0061728B">
      <w:pPr>
        <w:jc w:val="both"/>
      </w:pPr>
    </w:p>
    <w:p w14:paraId="47EA2661" w14:textId="77777777" w:rsidR="0061728B" w:rsidRPr="0061728B" w:rsidRDefault="0061728B" w:rsidP="0061728B">
      <w:pPr>
        <w:jc w:val="both"/>
      </w:pPr>
    </w:p>
    <w:p w14:paraId="7CCF39D7" w14:textId="1833FC50" w:rsidR="0061728B" w:rsidRPr="0061728B" w:rsidRDefault="0061728B" w:rsidP="0061728B">
      <w:pPr>
        <w:jc w:val="both"/>
      </w:pPr>
      <w:r w:rsidRPr="0061728B">
        <w:t>Lugupidamisega</w:t>
      </w:r>
      <w:r w:rsidR="00701C8F">
        <w:t>,</w:t>
      </w:r>
    </w:p>
    <w:p w14:paraId="34EAEECF" w14:textId="77777777" w:rsidR="0061728B" w:rsidRPr="0061728B" w:rsidRDefault="0061728B" w:rsidP="0061728B">
      <w:pPr>
        <w:jc w:val="both"/>
      </w:pPr>
    </w:p>
    <w:p w14:paraId="33D83EDC" w14:textId="77777777" w:rsidR="0061728B" w:rsidRPr="0061728B" w:rsidRDefault="0061728B" w:rsidP="0061728B">
      <w:pPr>
        <w:jc w:val="both"/>
      </w:pPr>
      <w:r w:rsidRPr="0061728B">
        <w:t>Angelina Abol</w:t>
      </w:r>
    </w:p>
    <w:p w14:paraId="339A4051" w14:textId="0AB443A6" w:rsidR="00D22400" w:rsidRPr="0061728B" w:rsidRDefault="0061728B" w:rsidP="0061728B">
      <w:pPr>
        <w:jc w:val="both"/>
        <w:rPr>
          <w:rFonts w:cs="Arial"/>
          <w:szCs w:val="20"/>
        </w:rPr>
      </w:pPr>
      <w:r w:rsidRPr="0061728B">
        <w:t xml:space="preserve">Viru </w:t>
      </w:r>
      <w:r w:rsidR="00387378">
        <w:t>M</w:t>
      </w:r>
      <w:r w:rsidRPr="0061728B">
        <w:t>aakohtu tsiviilosakonna juhataja</w:t>
      </w:r>
    </w:p>
    <w:sectPr w:rsidR="00D22400" w:rsidRPr="0061728B" w:rsidSect="00811E61">
      <w:headerReference w:type="first" r:id="rId10"/>
      <w:footerReference w:type="first" r:id="rId1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79156" w14:textId="77777777" w:rsidR="005017F4" w:rsidRDefault="005017F4" w:rsidP="00DA1915">
      <w:r>
        <w:separator/>
      </w:r>
    </w:p>
  </w:endnote>
  <w:endnote w:type="continuationSeparator" w:id="0">
    <w:p w14:paraId="446B9A77" w14:textId="77777777" w:rsidR="005017F4" w:rsidRDefault="005017F4"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7781C" w14:textId="77777777" w:rsidR="005017F4" w:rsidRDefault="005017F4" w:rsidP="00DA1915">
      <w:r>
        <w:separator/>
      </w:r>
    </w:p>
  </w:footnote>
  <w:footnote w:type="continuationSeparator" w:id="0">
    <w:p w14:paraId="180C9135" w14:textId="77777777" w:rsidR="005017F4" w:rsidRDefault="005017F4"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73926"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87527"/>
    <w:multiLevelType w:val="hybridMultilevel"/>
    <w:tmpl w:val="BF20A8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CE2453E"/>
    <w:multiLevelType w:val="hybridMultilevel"/>
    <w:tmpl w:val="6EDA081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132165950">
    <w:abstractNumId w:val="0"/>
  </w:num>
  <w:num w:numId="2" w16cid:durableId="12672757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649E"/>
    <w:rsid w:val="00046A91"/>
    <w:rsid w:val="00050D1F"/>
    <w:rsid w:val="000B2406"/>
    <w:rsid w:val="000D7F91"/>
    <w:rsid w:val="00130A2F"/>
    <w:rsid w:val="00133450"/>
    <w:rsid w:val="001444F8"/>
    <w:rsid w:val="00147670"/>
    <w:rsid w:val="00155A80"/>
    <w:rsid w:val="001A0D48"/>
    <w:rsid w:val="001B5FFA"/>
    <w:rsid w:val="001C4756"/>
    <w:rsid w:val="001C7565"/>
    <w:rsid w:val="001D64BC"/>
    <w:rsid w:val="00205E27"/>
    <w:rsid w:val="00206D0D"/>
    <w:rsid w:val="00224945"/>
    <w:rsid w:val="00225B96"/>
    <w:rsid w:val="002719AB"/>
    <w:rsid w:val="00286DFF"/>
    <w:rsid w:val="002E2ED5"/>
    <w:rsid w:val="002E397E"/>
    <w:rsid w:val="002F4455"/>
    <w:rsid w:val="0030100D"/>
    <w:rsid w:val="00336BE8"/>
    <w:rsid w:val="00352056"/>
    <w:rsid w:val="00387378"/>
    <w:rsid w:val="003A6D85"/>
    <w:rsid w:val="003D41E3"/>
    <w:rsid w:val="003F0460"/>
    <w:rsid w:val="003F6F57"/>
    <w:rsid w:val="00406C7D"/>
    <w:rsid w:val="004365BC"/>
    <w:rsid w:val="0043691B"/>
    <w:rsid w:val="00447CC9"/>
    <w:rsid w:val="00457403"/>
    <w:rsid w:val="00482A7A"/>
    <w:rsid w:val="00487C4F"/>
    <w:rsid w:val="004900A5"/>
    <w:rsid w:val="004A1192"/>
    <w:rsid w:val="004A5646"/>
    <w:rsid w:val="005017F4"/>
    <w:rsid w:val="0051481A"/>
    <w:rsid w:val="00523532"/>
    <w:rsid w:val="00543457"/>
    <w:rsid w:val="0055716E"/>
    <w:rsid w:val="005708AC"/>
    <w:rsid w:val="00572025"/>
    <w:rsid w:val="00587B6B"/>
    <w:rsid w:val="00596425"/>
    <w:rsid w:val="005F0FF9"/>
    <w:rsid w:val="005F45DB"/>
    <w:rsid w:val="00614AF1"/>
    <w:rsid w:val="0061728B"/>
    <w:rsid w:val="006444D2"/>
    <w:rsid w:val="006A69E8"/>
    <w:rsid w:val="006B1210"/>
    <w:rsid w:val="006D5809"/>
    <w:rsid w:val="006F02D2"/>
    <w:rsid w:val="00701C8F"/>
    <w:rsid w:val="00722A2B"/>
    <w:rsid w:val="00731E5C"/>
    <w:rsid w:val="007321F1"/>
    <w:rsid w:val="00740ECE"/>
    <w:rsid w:val="00791DB2"/>
    <w:rsid w:val="007B7B17"/>
    <w:rsid w:val="007F5BBB"/>
    <w:rsid w:val="00811E61"/>
    <w:rsid w:val="0082107E"/>
    <w:rsid w:val="0083420D"/>
    <w:rsid w:val="00873A81"/>
    <w:rsid w:val="008F0FC9"/>
    <w:rsid w:val="008F167E"/>
    <w:rsid w:val="0094633F"/>
    <w:rsid w:val="00990296"/>
    <w:rsid w:val="009B02B4"/>
    <w:rsid w:val="009B5A17"/>
    <w:rsid w:val="009B6480"/>
    <w:rsid w:val="009E6420"/>
    <w:rsid w:val="009F5C2E"/>
    <w:rsid w:val="00A252B8"/>
    <w:rsid w:val="00A279CA"/>
    <w:rsid w:val="00A3029D"/>
    <w:rsid w:val="00A52543"/>
    <w:rsid w:val="00AA2AFB"/>
    <w:rsid w:val="00AA7A1D"/>
    <w:rsid w:val="00AB2218"/>
    <w:rsid w:val="00AE57B5"/>
    <w:rsid w:val="00B260A5"/>
    <w:rsid w:val="00B310B5"/>
    <w:rsid w:val="00B57933"/>
    <w:rsid w:val="00B61543"/>
    <w:rsid w:val="00B85165"/>
    <w:rsid w:val="00BB1E36"/>
    <w:rsid w:val="00BC25CE"/>
    <w:rsid w:val="00BF1D1A"/>
    <w:rsid w:val="00C076A6"/>
    <w:rsid w:val="00C17A46"/>
    <w:rsid w:val="00C32C97"/>
    <w:rsid w:val="00C63460"/>
    <w:rsid w:val="00C8651B"/>
    <w:rsid w:val="00C94E3C"/>
    <w:rsid w:val="00C96864"/>
    <w:rsid w:val="00CB7D32"/>
    <w:rsid w:val="00CC2FB6"/>
    <w:rsid w:val="00CC5B66"/>
    <w:rsid w:val="00CE1E94"/>
    <w:rsid w:val="00D22400"/>
    <w:rsid w:val="00D56FDE"/>
    <w:rsid w:val="00D664B5"/>
    <w:rsid w:val="00D71095"/>
    <w:rsid w:val="00D7743B"/>
    <w:rsid w:val="00D8213C"/>
    <w:rsid w:val="00DA1915"/>
    <w:rsid w:val="00DB12C2"/>
    <w:rsid w:val="00DD415C"/>
    <w:rsid w:val="00DE4BBF"/>
    <w:rsid w:val="00DF17D0"/>
    <w:rsid w:val="00E349D5"/>
    <w:rsid w:val="00E40D30"/>
    <w:rsid w:val="00E60FF4"/>
    <w:rsid w:val="00E7252F"/>
    <w:rsid w:val="00E736B1"/>
    <w:rsid w:val="00EB0DA6"/>
    <w:rsid w:val="00ED24E6"/>
    <w:rsid w:val="00EE667C"/>
    <w:rsid w:val="00F55873"/>
    <w:rsid w:val="00F8430B"/>
    <w:rsid w:val="00F93607"/>
    <w:rsid w:val="00FC186C"/>
    <w:rsid w:val="00FC2DAD"/>
    <w:rsid w:val="00FD2773"/>
    <w:rsid w:val="00FE5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paragraph" w:styleId="Loendilik">
    <w:name w:val="List Paragraph"/>
    <w:basedOn w:val="Normaallaad"/>
    <w:uiPriority w:val="34"/>
    <w:qFormat/>
    <w:rsid w:val="002E2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712967860">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37842973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63638-8876-4031-9A33-EE7DE22EB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Pages>
  <Words>1716</Words>
  <Characters>9958</Characters>
  <Application>Microsoft Office Word</Application>
  <DocSecurity>0</DocSecurity>
  <Lines>82</Lines>
  <Paragraphs>23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Angelina Abol</cp:lastModifiedBy>
  <cp:revision>12</cp:revision>
  <dcterms:created xsi:type="dcterms:W3CDTF">2024-11-25T07:43:00Z</dcterms:created>
  <dcterms:modified xsi:type="dcterms:W3CDTF">2024-11-25T13:15:00Z</dcterms:modified>
</cp:coreProperties>
</file>